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6497" w:rsidRPr="00504223" w:rsidRDefault="00DA6497" w:rsidP="00DA6497">
      <w:pPr>
        <w:widowControl w:val="0"/>
        <w:pBdr>
          <w:top w:val="nil"/>
          <w:left w:val="nil"/>
          <w:bottom w:val="nil"/>
          <w:right w:val="nil"/>
          <w:between w:val="nil"/>
        </w:pBdr>
        <w:spacing w:line="276" w:lineRule="auto"/>
        <w:jc w:val="center"/>
        <w:rPr>
          <w:rFonts w:ascii="Cambria" w:eastAsia="Arial" w:hAnsi="Cambria" w:cs="Arial"/>
          <w:color w:val="000000"/>
          <w:sz w:val="22"/>
          <w:szCs w:val="22"/>
        </w:rPr>
      </w:pPr>
    </w:p>
    <w:tbl>
      <w:tblPr>
        <w:tblW w:w="9180" w:type="dxa"/>
        <w:tblLayout w:type="fixed"/>
        <w:tblLook w:val="0400" w:firstRow="0" w:lastRow="0" w:firstColumn="0" w:lastColumn="0" w:noHBand="0" w:noVBand="1"/>
      </w:tblPr>
      <w:tblGrid>
        <w:gridCol w:w="993"/>
        <w:gridCol w:w="1701"/>
        <w:gridCol w:w="6486"/>
      </w:tblGrid>
      <w:tr w:rsidR="00DA6497" w:rsidRPr="00504223" w:rsidTr="0043610A">
        <w:tc>
          <w:tcPr>
            <w:tcW w:w="993" w:type="dxa"/>
            <w:vAlign w:val="center"/>
          </w:tcPr>
          <w:p w:rsidR="00DA6497" w:rsidRPr="00504223" w:rsidRDefault="00DA6497" w:rsidP="0043610A">
            <w:pPr>
              <w:pBdr>
                <w:top w:val="nil"/>
                <w:left w:val="nil"/>
                <w:bottom w:val="nil"/>
                <w:right w:val="nil"/>
                <w:between w:val="nil"/>
              </w:pBdr>
              <w:jc w:val="center"/>
              <w:rPr>
                <w:rFonts w:ascii="Cambria" w:hAnsi="Cambria"/>
              </w:rPr>
            </w:pPr>
            <w:r w:rsidRPr="00504223">
              <w:rPr>
                <w:rFonts w:ascii="Cambria" w:hAnsi="Cambria"/>
                <w:noProof/>
              </w:rPr>
              <w:drawing>
                <wp:inline distT="0" distB="0" distL="0" distR="0" wp14:anchorId="1D744A9E" wp14:editId="115F4174">
                  <wp:extent cx="527539" cy="442972"/>
                  <wp:effectExtent l="0" t="0" r="6350" b="1905"/>
                  <wp:docPr id="2" name="Picture 1">
                    <a:extLst xmlns:a="http://schemas.openxmlformats.org/drawingml/2006/main">
                      <a:ext uri="{FF2B5EF4-FFF2-40B4-BE49-F238E27FC236}">
                        <a16:creationId xmlns:a16="http://schemas.microsoft.com/office/drawing/2014/main" id="{F9B7784A-9F28-4E4F-B35D-6520A263B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9B7784A-9F28-4E4F-B35D-6520A263BB8F}"/>
                              </a:ext>
                            </a:extLst>
                          </pic:cNvPr>
                          <pic:cNvPicPr>
                            <a:picLocks noChangeAspect="1" noChangeArrowheads="1"/>
                          </pic:cNvPicPr>
                        </pic:nvPicPr>
                        <pic:blipFill>
                          <a:blip r:embed="rId7" cstate="print"/>
                          <a:srcRect/>
                          <a:stretch>
                            <a:fillRect/>
                          </a:stretch>
                        </pic:blipFill>
                        <pic:spPr bwMode="auto">
                          <a:xfrm>
                            <a:off x="0" y="0"/>
                            <a:ext cx="563798" cy="473418"/>
                          </a:xfrm>
                          <a:prstGeom prst="rect">
                            <a:avLst/>
                          </a:prstGeom>
                          <a:noFill/>
                          <a:ln w="1">
                            <a:noFill/>
                            <a:miter lim="800000"/>
                            <a:headEnd/>
                            <a:tailEnd type="none" w="med" len="med"/>
                          </a:ln>
                          <a:effectLst/>
                        </pic:spPr>
                      </pic:pic>
                    </a:graphicData>
                  </a:graphic>
                </wp:inline>
              </w:drawing>
            </w:r>
          </w:p>
        </w:tc>
        <w:tc>
          <w:tcPr>
            <w:tcW w:w="8187" w:type="dxa"/>
            <w:gridSpan w:val="2"/>
          </w:tcPr>
          <w:p w:rsidR="00DA6497" w:rsidRPr="00504223" w:rsidRDefault="00DA6497" w:rsidP="0043610A">
            <w:pPr>
              <w:pBdr>
                <w:top w:val="nil"/>
                <w:left w:val="nil"/>
                <w:bottom w:val="nil"/>
                <w:right w:val="nil"/>
                <w:between w:val="nil"/>
              </w:pBdr>
              <w:jc w:val="center"/>
              <w:rPr>
                <w:rFonts w:ascii="Cambria" w:eastAsia="EB Garamond" w:hAnsi="Cambria" w:cs="EB Garamond"/>
                <w:b/>
                <w:sz w:val="36"/>
                <w:szCs w:val="36"/>
              </w:rPr>
            </w:pPr>
            <w:r w:rsidRPr="00504223">
              <w:rPr>
                <w:rFonts w:ascii="Cambria" w:eastAsia="EB Garamond" w:hAnsi="Cambria" w:cs="EB Garamond"/>
                <w:b/>
                <w:sz w:val="36"/>
                <w:szCs w:val="36"/>
              </w:rPr>
              <w:t xml:space="preserve">Jurnal Riset </w:t>
            </w:r>
            <w:r w:rsidRPr="00504223">
              <w:rPr>
                <w:rFonts w:ascii="Cambria" w:eastAsia="EB Garamond" w:hAnsi="Cambria" w:cs="EB Garamond"/>
                <w:b/>
                <w:sz w:val="36"/>
                <w:szCs w:val="36"/>
                <w:lang w:val="en-US"/>
              </w:rPr>
              <w:t>dan</w:t>
            </w:r>
            <w:r w:rsidRPr="00504223">
              <w:rPr>
                <w:rFonts w:ascii="Cambria" w:eastAsia="EB Garamond" w:hAnsi="Cambria" w:cs="EB Garamond"/>
                <w:b/>
                <w:sz w:val="36"/>
                <w:szCs w:val="36"/>
              </w:rPr>
              <w:t xml:space="preserve"> Pengembangan Ekonomi Islam</w:t>
            </w:r>
          </w:p>
          <w:p w:rsidR="00DA6497" w:rsidRPr="00504223" w:rsidRDefault="00DA6497" w:rsidP="0043610A">
            <w:pPr>
              <w:pBdr>
                <w:top w:val="nil"/>
                <w:left w:val="nil"/>
                <w:bottom w:val="nil"/>
                <w:right w:val="nil"/>
                <w:between w:val="nil"/>
              </w:pBdr>
              <w:jc w:val="center"/>
              <w:rPr>
                <w:rFonts w:ascii="Cambria" w:eastAsia="EB Garamond" w:hAnsi="Cambria" w:cs="EB Garamond"/>
                <w:b/>
              </w:rPr>
            </w:pPr>
            <w:r w:rsidRPr="00504223">
              <w:rPr>
                <w:rFonts w:ascii="Cambria" w:eastAsia="EB Garamond" w:hAnsi="Cambria" w:cs="EB Garamond"/>
                <w:b/>
              </w:rPr>
              <w:t xml:space="preserve">Available at </w:t>
            </w:r>
            <w:hyperlink r:id="rId8" w:history="1">
              <w:r w:rsidRPr="00504223">
                <w:rPr>
                  <w:rStyle w:val="Hyperlink"/>
                  <w:rFonts w:ascii="Cambria" w:eastAsia="EB Garamond" w:hAnsi="Cambria" w:cs="EB Garamond"/>
                  <w:b/>
                </w:rPr>
                <w:t>https://jurnal.staihwduri.ac.id/index.php/finest/index</w:t>
              </w:r>
            </w:hyperlink>
            <w:r w:rsidRPr="00504223">
              <w:rPr>
                <w:rFonts w:ascii="Cambria" w:eastAsia="EB Garamond" w:hAnsi="Cambria" w:cs="EB Garamond"/>
                <w:b/>
              </w:rPr>
              <w:t xml:space="preserve"> </w:t>
            </w:r>
          </w:p>
        </w:tc>
      </w:tr>
      <w:tr w:rsidR="00DA6497" w:rsidRPr="00504223" w:rsidTr="0043610A">
        <w:tc>
          <w:tcPr>
            <w:tcW w:w="9180" w:type="dxa"/>
            <w:gridSpan w:val="3"/>
          </w:tcPr>
          <w:p w:rsidR="00DA6497" w:rsidRPr="00504223" w:rsidRDefault="00DA6497" w:rsidP="0043610A">
            <w:pPr>
              <w:pBdr>
                <w:top w:val="nil"/>
                <w:left w:val="nil"/>
                <w:bottom w:val="nil"/>
                <w:right w:val="nil"/>
                <w:between w:val="nil"/>
              </w:pBdr>
              <w:jc w:val="both"/>
              <w:rPr>
                <w:rFonts w:ascii="Cambria" w:hAnsi="Cambria"/>
              </w:rPr>
            </w:pPr>
          </w:p>
          <w:p w:rsidR="00DA6497" w:rsidRPr="00504223" w:rsidRDefault="00DA6497" w:rsidP="0043610A">
            <w:pPr>
              <w:pStyle w:val="NormalWeb"/>
              <w:spacing w:before="0" w:beforeAutospacing="0" w:after="240" w:afterAutospacing="0"/>
              <w:jc w:val="center"/>
              <w:rPr>
                <w:rFonts w:ascii="Cambria" w:hAnsi="Cambria"/>
                <w:b/>
                <w:bCs/>
                <w:i/>
                <w:iCs/>
                <w:sz w:val="28"/>
                <w:szCs w:val="28"/>
              </w:rPr>
            </w:pPr>
            <w:r w:rsidRPr="00504223">
              <w:rPr>
                <w:rFonts w:ascii="Cambria" w:hAnsi="Cambria"/>
                <w:b/>
                <w:sz w:val="28"/>
                <w:szCs w:val="28"/>
              </w:rPr>
              <w:t xml:space="preserve">Pengaruh Debt </w:t>
            </w:r>
            <w:r w:rsidRPr="00504223">
              <w:rPr>
                <w:rFonts w:ascii="Cambria" w:hAnsi="Cambria"/>
                <w:b/>
                <w:sz w:val="28"/>
                <w:szCs w:val="28"/>
                <w:lang w:val="en-US"/>
              </w:rPr>
              <w:t>t</w:t>
            </w:r>
            <w:r w:rsidRPr="00504223">
              <w:rPr>
                <w:rFonts w:ascii="Cambria" w:hAnsi="Cambria"/>
                <w:b/>
                <w:sz w:val="28"/>
                <w:szCs w:val="28"/>
              </w:rPr>
              <w:t>o Equity Ratio,</w:t>
            </w:r>
            <w:r w:rsidRPr="00504223">
              <w:rPr>
                <w:rFonts w:ascii="Cambria" w:hAnsi="Cambria"/>
                <w:b/>
                <w:sz w:val="28"/>
                <w:szCs w:val="28"/>
                <w:lang w:val="en-US"/>
              </w:rPr>
              <w:t xml:space="preserve"> </w:t>
            </w:r>
            <w:r w:rsidRPr="00504223">
              <w:rPr>
                <w:rFonts w:ascii="Cambria" w:hAnsi="Cambria"/>
                <w:b/>
                <w:sz w:val="28"/>
                <w:szCs w:val="28"/>
              </w:rPr>
              <w:t xml:space="preserve">Earning </w:t>
            </w:r>
            <w:r w:rsidR="00CD0545">
              <w:rPr>
                <w:rFonts w:ascii="Cambria" w:hAnsi="Cambria"/>
                <w:b/>
                <w:sz w:val="28"/>
                <w:szCs w:val="28"/>
                <w:lang w:val="en-US"/>
              </w:rPr>
              <w:t>p</w:t>
            </w:r>
            <w:r w:rsidRPr="00504223">
              <w:rPr>
                <w:rFonts w:ascii="Cambria" w:hAnsi="Cambria"/>
                <w:b/>
                <w:sz w:val="28"/>
                <w:szCs w:val="28"/>
              </w:rPr>
              <w:t>er Share</w:t>
            </w:r>
            <w:r w:rsidRPr="00504223">
              <w:rPr>
                <w:rFonts w:ascii="Cambria" w:hAnsi="Cambria"/>
                <w:b/>
                <w:sz w:val="28"/>
                <w:szCs w:val="28"/>
                <w:lang w:val="en-US"/>
              </w:rPr>
              <w:t xml:space="preserve"> d</w:t>
            </w:r>
            <w:r w:rsidRPr="00504223">
              <w:rPr>
                <w:rFonts w:ascii="Cambria" w:hAnsi="Cambria"/>
                <w:b/>
                <w:sz w:val="28"/>
                <w:szCs w:val="28"/>
              </w:rPr>
              <w:t xml:space="preserve">an Return </w:t>
            </w:r>
            <w:r w:rsidRPr="00504223">
              <w:rPr>
                <w:rFonts w:ascii="Cambria" w:hAnsi="Cambria"/>
                <w:b/>
                <w:sz w:val="28"/>
                <w:szCs w:val="28"/>
                <w:lang w:val="en-US"/>
              </w:rPr>
              <w:t>o</w:t>
            </w:r>
            <w:r w:rsidRPr="00504223">
              <w:rPr>
                <w:rFonts w:ascii="Cambria" w:hAnsi="Cambria"/>
                <w:b/>
                <w:sz w:val="28"/>
                <w:szCs w:val="28"/>
              </w:rPr>
              <w:t xml:space="preserve">n Equity Terhadap Nilai Perusahaan Pada </w:t>
            </w:r>
            <w:r w:rsidR="00923102" w:rsidRPr="00504223">
              <w:rPr>
                <w:rFonts w:ascii="Cambria" w:hAnsi="Cambria"/>
                <w:b/>
                <w:sz w:val="28"/>
                <w:szCs w:val="28"/>
                <w:lang w:val="en-US"/>
              </w:rPr>
              <w:t xml:space="preserve">Perusahaan </w:t>
            </w:r>
            <w:r w:rsidRPr="00504223">
              <w:rPr>
                <w:rFonts w:ascii="Cambria" w:hAnsi="Cambria"/>
                <w:b/>
                <w:sz w:val="28"/>
                <w:szCs w:val="28"/>
              </w:rPr>
              <w:t>Sektor</w:t>
            </w:r>
            <w:r w:rsidRPr="00504223">
              <w:rPr>
                <w:rFonts w:ascii="Cambria" w:hAnsi="Cambria"/>
                <w:b/>
                <w:sz w:val="28"/>
                <w:szCs w:val="28"/>
                <w:lang w:val="en-US"/>
              </w:rPr>
              <w:t xml:space="preserve"> </w:t>
            </w:r>
            <w:r w:rsidRPr="00504223">
              <w:rPr>
                <w:rFonts w:ascii="Cambria" w:hAnsi="Cambria"/>
                <w:b/>
                <w:sz w:val="28"/>
                <w:szCs w:val="28"/>
              </w:rPr>
              <w:t>Telecommunication</w:t>
            </w:r>
          </w:p>
          <w:p w:rsidR="00DA6497" w:rsidRPr="00504223" w:rsidRDefault="00DA6497" w:rsidP="00D9436D">
            <w:pPr>
              <w:pStyle w:val="HTMLSudahDiformat"/>
              <w:spacing w:after="240"/>
              <w:jc w:val="center"/>
              <w:rPr>
                <w:rFonts w:ascii="Cambria" w:hAnsi="Cambria"/>
                <w:b/>
                <w:sz w:val="28"/>
                <w:szCs w:val="28"/>
              </w:rPr>
            </w:pPr>
            <w:r w:rsidRPr="00504223">
              <w:rPr>
                <w:rFonts w:ascii="Cambria" w:hAnsi="Cambria"/>
                <w:b/>
                <w:sz w:val="28"/>
                <w:szCs w:val="28"/>
              </w:rPr>
              <w:t xml:space="preserve">The Effect of Debt to Equity Ratio, Earnings </w:t>
            </w:r>
            <w:r w:rsidR="00CD0545">
              <w:rPr>
                <w:rFonts w:ascii="Cambria" w:hAnsi="Cambria"/>
                <w:b/>
                <w:sz w:val="28"/>
                <w:szCs w:val="28"/>
                <w:lang w:val="en-US"/>
              </w:rPr>
              <w:t>p</w:t>
            </w:r>
            <w:r w:rsidRPr="00504223">
              <w:rPr>
                <w:rFonts w:ascii="Cambria" w:hAnsi="Cambria"/>
                <w:b/>
                <w:sz w:val="28"/>
                <w:szCs w:val="28"/>
              </w:rPr>
              <w:t>er Share and Return on Equity on Company Value in the Telecommunication Manufacturing Sector</w:t>
            </w:r>
          </w:p>
          <w:p w:rsidR="00DA6497" w:rsidRPr="00504223" w:rsidRDefault="00DA6497" w:rsidP="0043610A">
            <w:pPr>
              <w:pStyle w:val="HTMLSudahDiformat"/>
              <w:jc w:val="center"/>
              <w:rPr>
                <w:rFonts w:ascii="Cambria" w:hAnsi="Cambria"/>
                <w:b/>
                <w:bCs/>
                <w:i/>
                <w:iCs/>
                <w:color w:val="1F1F1F"/>
                <w:sz w:val="28"/>
                <w:szCs w:val="28"/>
                <w:lang w:val="en"/>
              </w:rPr>
            </w:pPr>
            <w:r w:rsidRPr="00504223">
              <w:rPr>
                <w:rFonts w:ascii="Cambria" w:hAnsi="Cambria"/>
                <w:b/>
                <w:sz w:val="24"/>
                <w:szCs w:val="24"/>
              </w:rPr>
              <w:t>Oki Firdaus</w:t>
            </w:r>
            <w:r w:rsidRPr="00504223">
              <w:rPr>
                <w:rFonts w:ascii="Cambria" w:hAnsi="Cambria"/>
                <w:b/>
                <w:sz w:val="24"/>
                <w:szCs w:val="24"/>
                <w:vertAlign w:val="superscript"/>
              </w:rPr>
              <w:t>1</w:t>
            </w:r>
            <w:r w:rsidRPr="00504223">
              <w:rPr>
                <w:rFonts w:ascii="Cambria" w:hAnsi="Cambria"/>
                <w:b/>
                <w:sz w:val="24"/>
                <w:szCs w:val="24"/>
              </w:rPr>
              <w:t>*,</w:t>
            </w:r>
            <w:r w:rsidRPr="00504223">
              <w:rPr>
                <w:rFonts w:ascii="Cambria" w:hAnsi="Cambria"/>
                <w:b/>
                <w:spacing w:val="-3"/>
                <w:sz w:val="24"/>
                <w:szCs w:val="24"/>
              </w:rPr>
              <w:t xml:space="preserve"> </w:t>
            </w:r>
            <w:r w:rsidRPr="00504223">
              <w:rPr>
                <w:rFonts w:ascii="Cambria" w:hAnsi="Cambria"/>
                <w:b/>
                <w:sz w:val="24"/>
                <w:szCs w:val="24"/>
              </w:rPr>
              <w:t>Rahmawati</w:t>
            </w:r>
            <w:r w:rsidRPr="00504223">
              <w:rPr>
                <w:rFonts w:ascii="Cambria" w:hAnsi="Cambria"/>
                <w:b/>
                <w:sz w:val="24"/>
                <w:szCs w:val="24"/>
                <w:vertAlign w:val="superscript"/>
              </w:rPr>
              <w:t>2</w:t>
            </w:r>
            <w:r w:rsidRPr="00504223">
              <w:rPr>
                <w:rFonts w:ascii="Cambria" w:hAnsi="Cambria"/>
                <w:b/>
                <w:sz w:val="24"/>
                <w:szCs w:val="24"/>
              </w:rPr>
              <w:t>,</w:t>
            </w:r>
            <w:r w:rsidRPr="00504223">
              <w:rPr>
                <w:rFonts w:ascii="Cambria" w:hAnsi="Cambria"/>
                <w:b/>
                <w:spacing w:val="-2"/>
                <w:sz w:val="24"/>
                <w:szCs w:val="24"/>
              </w:rPr>
              <w:t xml:space="preserve"> </w:t>
            </w:r>
            <w:r w:rsidRPr="00504223">
              <w:rPr>
                <w:rFonts w:ascii="Cambria" w:hAnsi="Cambria"/>
                <w:b/>
                <w:sz w:val="24"/>
                <w:szCs w:val="24"/>
              </w:rPr>
              <w:t>Pirmansyah</w:t>
            </w:r>
            <w:r w:rsidRPr="00504223">
              <w:rPr>
                <w:rFonts w:ascii="Cambria" w:hAnsi="Cambria"/>
                <w:b/>
                <w:spacing w:val="-10"/>
                <w:sz w:val="24"/>
                <w:szCs w:val="24"/>
                <w:vertAlign w:val="superscript"/>
              </w:rPr>
              <w:t>3</w:t>
            </w:r>
          </w:p>
          <w:p w:rsidR="00DA6497" w:rsidRPr="00504223" w:rsidRDefault="00DA6497" w:rsidP="0043610A">
            <w:pPr>
              <w:jc w:val="center"/>
              <w:rPr>
                <w:rFonts w:ascii="Cambria" w:hAnsi="Cambria"/>
              </w:rPr>
            </w:pPr>
            <w:r w:rsidRPr="00504223">
              <w:rPr>
                <w:rFonts w:ascii="Cambria" w:hAnsi="Cambria"/>
                <w:vertAlign w:val="superscript"/>
              </w:rPr>
              <w:t>1,2,3</w:t>
            </w:r>
            <w:r w:rsidRPr="00504223">
              <w:rPr>
                <w:rFonts w:ascii="Cambria" w:hAnsi="Cambria"/>
              </w:rPr>
              <w:t>Prodi</w:t>
            </w:r>
            <w:r w:rsidRPr="00504223">
              <w:rPr>
                <w:rFonts w:ascii="Cambria" w:hAnsi="Cambria"/>
                <w:spacing w:val="-4"/>
              </w:rPr>
              <w:t xml:space="preserve"> </w:t>
            </w:r>
            <w:r w:rsidRPr="00504223">
              <w:rPr>
                <w:rFonts w:ascii="Cambria" w:hAnsi="Cambria"/>
              </w:rPr>
              <w:t>Akuntansi,</w:t>
            </w:r>
            <w:r w:rsidRPr="00504223">
              <w:rPr>
                <w:rFonts w:ascii="Cambria" w:hAnsi="Cambria"/>
                <w:spacing w:val="3"/>
              </w:rPr>
              <w:t xml:space="preserve"> </w:t>
            </w:r>
            <w:r w:rsidRPr="00504223">
              <w:rPr>
                <w:rFonts w:ascii="Cambria" w:hAnsi="Cambria"/>
              </w:rPr>
              <w:t>Akuntansi</w:t>
            </w:r>
            <w:r w:rsidRPr="00504223">
              <w:rPr>
                <w:rFonts w:ascii="Cambria" w:hAnsi="Cambria"/>
                <w:spacing w:val="-4"/>
              </w:rPr>
              <w:t xml:space="preserve"> </w:t>
            </w:r>
            <w:r w:rsidRPr="00504223">
              <w:rPr>
                <w:rFonts w:ascii="Cambria" w:hAnsi="Cambria"/>
              </w:rPr>
              <w:t>STIE</w:t>
            </w:r>
            <w:r w:rsidRPr="00504223">
              <w:rPr>
                <w:rFonts w:ascii="Cambria" w:hAnsi="Cambria"/>
                <w:spacing w:val="2"/>
              </w:rPr>
              <w:t xml:space="preserve"> </w:t>
            </w:r>
            <w:r w:rsidRPr="00504223">
              <w:rPr>
                <w:rFonts w:ascii="Cambria" w:hAnsi="Cambria"/>
              </w:rPr>
              <w:t>Bangkinang,</w:t>
            </w:r>
            <w:r w:rsidRPr="00504223">
              <w:rPr>
                <w:rFonts w:ascii="Cambria" w:hAnsi="Cambria"/>
                <w:spacing w:val="-3"/>
              </w:rPr>
              <w:t xml:space="preserve"> </w:t>
            </w:r>
            <w:r w:rsidRPr="00504223">
              <w:rPr>
                <w:rFonts w:ascii="Cambria" w:hAnsi="Cambria"/>
              </w:rPr>
              <w:t>Riau</w:t>
            </w:r>
            <w:r w:rsidRPr="00504223">
              <w:rPr>
                <w:rFonts w:ascii="Cambria" w:hAnsi="Cambria"/>
                <w:spacing w:val="1"/>
              </w:rPr>
              <w:t xml:space="preserve"> </w:t>
            </w:r>
            <w:r w:rsidRPr="00504223">
              <w:rPr>
                <w:rFonts w:ascii="Cambria" w:hAnsi="Cambria"/>
              </w:rPr>
              <w:t>28411,</w:t>
            </w:r>
            <w:r w:rsidRPr="00504223">
              <w:rPr>
                <w:rFonts w:ascii="Cambria" w:hAnsi="Cambria"/>
                <w:spacing w:val="-3"/>
              </w:rPr>
              <w:t xml:space="preserve"> </w:t>
            </w:r>
            <w:r w:rsidRPr="00504223">
              <w:rPr>
                <w:rFonts w:ascii="Cambria" w:hAnsi="Cambria"/>
                <w:spacing w:val="-2"/>
              </w:rPr>
              <w:t>Indonesia</w:t>
            </w:r>
          </w:p>
          <w:p w:rsidR="00DA6497" w:rsidRPr="00504223" w:rsidRDefault="00DA6497" w:rsidP="0043610A">
            <w:pPr>
              <w:jc w:val="center"/>
              <w:rPr>
                <w:rFonts w:ascii="Cambria" w:hAnsi="Cambria"/>
                <w:spacing w:val="-10"/>
                <w:vertAlign w:val="superscript"/>
              </w:rPr>
            </w:pPr>
            <w:r w:rsidRPr="00504223">
              <w:rPr>
                <w:rFonts w:ascii="Cambria" w:hAnsi="Cambria"/>
              </w:rPr>
              <w:t>Email:</w:t>
            </w:r>
            <w:r w:rsidRPr="00504223">
              <w:rPr>
                <w:rFonts w:ascii="Cambria" w:hAnsi="Cambria"/>
                <w:lang w:val="en-US"/>
              </w:rPr>
              <w:t xml:space="preserve"> </w:t>
            </w:r>
            <w:hyperlink r:id="rId9" w:history="1">
              <w:r w:rsidRPr="00504223">
                <w:rPr>
                  <w:rStyle w:val="Hyperlink"/>
                  <w:rFonts w:ascii="Cambria" w:hAnsi="Cambria"/>
                </w:rPr>
                <w:t xml:space="preserve"> okifirdaus@gmail.com</w:t>
              </w:r>
            </w:hyperlink>
            <w:r w:rsidRPr="00504223">
              <w:rPr>
                <w:rFonts w:ascii="Cambria" w:hAnsi="Cambria"/>
                <w:vertAlign w:val="superscript"/>
              </w:rPr>
              <w:t>1</w:t>
            </w:r>
            <w:r w:rsidRPr="00504223">
              <w:rPr>
                <w:rFonts w:ascii="Cambria" w:hAnsi="Cambria"/>
                <w:b/>
              </w:rPr>
              <w:t>*</w:t>
            </w:r>
            <w:r w:rsidRPr="00504223">
              <w:rPr>
                <w:rFonts w:ascii="Cambria" w:hAnsi="Cambria"/>
              </w:rPr>
              <w:t xml:space="preserve">, </w:t>
            </w:r>
            <w:hyperlink r:id="rId10" w:history="1">
              <w:r w:rsidRPr="00504223">
                <w:rPr>
                  <w:rStyle w:val="Hyperlink"/>
                  <w:rFonts w:ascii="Cambria" w:hAnsi="Cambria"/>
                </w:rPr>
                <w:t>rahmawati@stiebangkinang.ac.id</w:t>
              </w:r>
              <w:r w:rsidRPr="00504223">
                <w:rPr>
                  <w:rStyle w:val="Hyperlink"/>
                  <w:rFonts w:ascii="Cambria" w:hAnsi="Cambria"/>
                  <w:vertAlign w:val="superscript"/>
                  <w:lang w:val="en-US"/>
                </w:rPr>
                <w:t>2</w:t>
              </w:r>
            </w:hyperlink>
            <w:r w:rsidRPr="00504223">
              <w:rPr>
                <w:rFonts w:ascii="Cambria" w:hAnsi="Cambria"/>
              </w:rPr>
              <w:t>,</w:t>
            </w:r>
            <w:r w:rsidRPr="00504223">
              <w:rPr>
                <w:rFonts w:ascii="Cambria" w:hAnsi="Cambria"/>
                <w:lang w:val="en-US"/>
              </w:rPr>
              <w:t xml:space="preserve"> </w:t>
            </w:r>
            <w:hyperlink r:id="rId11" w:history="1">
              <w:r w:rsidRPr="00504223">
                <w:rPr>
                  <w:rStyle w:val="Hyperlink"/>
                  <w:rFonts w:ascii="Cambria" w:hAnsi="Cambria"/>
                </w:rPr>
                <w:t>Pirmansyah @gmail.com</w:t>
              </w:r>
            </w:hyperlink>
            <w:r w:rsidRPr="00504223">
              <w:rPr>
                <w:rFonts w:ascii="Cambria" w:hAnsi="Cambria"/>
                <w:spacing w:val="-10"/>
                <w:vertAlign w:val="superscript"/>
              </w:rPr>
              <w:t>3</w:t>
            </w:r>
          </w:p>
        </w:tc>
      </w:tr>
      <w:tr w:rsidR="00DA6497" w:rsidRPr="00504223" w:rsidTr="0043610A">
        <w:tc>
          <w:tcPr>
            <w:tcW w:w="2694" w:type="dxa"/>
            <w:gridSpan w:val="2"/>
          </w:tcPr>
          <w:p w:rsidR="00DA6497" w:rsidRPr="00504223" w:rsidRDefault="00DA6497" w:rsidP="0043610A">
            <w:pPr>
              <w:pBdr>
                <w:top w:val="nil"/>
                <w:left w:val="nil"/>
                <w:bottom w:val="nil"/>
                <w:right w:val="nil"/>
                <w:between w:val="nil"/>
              </w:pBdr>
              <w:jc w:val="both"/>
              <w:rPr>
                <w:rFonts w:ascii="Cambria" w:hAnsi="Cambria"/>
                <w:sz w:val="20"/>
                <w:szCs w:val="20"/>
              </w:rPr>
            </w:pPr>
            <w:r w:rsidRPr="00504223">
              <w:rPr>
                <w:rFonts w:ascii="Cambria" w:hAnsi="Cambria"/>
                <w:sz w:val="20"/>
                <w:szCs w:val="20"/>
              </w:rPr>
              <w:t>Article Info</w:t>
            </w:r>
          </w:p>
        </w:tc>
        <w:tc>
          <w:tcPr>
            <w:tcW w:w="6486" w:type="dxa"/>
          </w:tcPr>
          <w:p w:rsidR="00DA6497" w:rsidRPr="00504223" w:rsidRDefault="00DA6497" w:rsidP="0043610A">
            <w:pPr>
              <w:pBdr>
                <w:top w:val="nil"/>
                <w:left w:val="nil"/>
                <w:bottom w:val="nil"/>
                <w:right w:val="nil"/>
                <w:between w:val="nil"/>
              </w:pBdr>
              <w:jc w:val="both"/>
              <w:rPr>
                <w:rFonts w:ascii="Cambria" w:hAnsi="Cambria"/>
                <w:b/>
                <w:bCs/>
              </w:rPr>
            </w:pPr>
            <w:r w:rsidRPr="00504223">
              <w:rPr>
                <w:rFonts w:ascii="Cambria" w:hAnsi="Cambria"/>
                <w:b/>
                <w:bCs/>
                <w:sz w:val="22"/>
                <w:szCs w:val="22"/>
              </w:rPr>
              <w:t>Abstrak</w:t>
            </w:r>
          </w:p>
        </w:tc>
      </w:tr>
      <w:tr w:rsidR="00DA6497" w:rsidRPr="00504223" w:rsidTr="0043610A">
        <w:tc>
          <w:tcPr>
            <w:tcW w:w="2694" w:type="dxa"/>
            <w:gridSpan w:val="2"/>
          </w:tcPr>
          <w:p w:rsidR="00DA6497" w:rsidRPr="00504223" w:rsidRDefault="00DA6497" w:rsidP="0043610A">
            <w:pPr>
              <w:pBdr>
                <w:top w:val="nil"/>
                <w:left w:val="nil"/>
                <w:bottom w:val="nil"/>
                <w:right w:val="nil"/>
                <w:between w:val="nil"/>
              </w:pBdr>
              <w:jc w:val="both"/>
              <w:rPr>
                <w:rFonts w:ascii="Cambria" w:hAnsi="Cambria"/>
                <w:sz w:val="20"/>
                <w:szCs w:val="20"/>
              </w:rPr>
            </w:pPr>
            <w:r w:rsidRPr="00504223">
              <w:rPr>
                <w:rFonts w:ascii="Cambria" w:hAnsi="Cambria"/>
                <w:sz w:val="20"/>
                <w:szCs w:val="20"/>
              </w:rPr>
              <w:t xml:space="preserve">Article </w:t>
            </w:r>
            <w:r w:rsidRPr="00504223">
              <w:rPr>
                <w:rFonts w:ascii="Cambria" w:hAnsi="Cambria"/>
                <w:sz w:val="20"/>
                <w:szCs w:val="20"/>
                <w:lang w:val="en-US"/>
              </w:rPr>
              <w:t>H</w:t>
            </w:r>
            <w:r w:rsidRPr="00504223">
              <w:rPr>
                <w:rFonts w:ascii="Cambria" w:hAnsi="Cambria"/>
                <w:sz w:val="20"/>
                <w:szCs w:val="20"/>
              </w:rPr>
              <w:t xml:space="preserve">istory: </w:t>
            </w:r>
          </w:p>
          <w:tbl>
            <w:tblPr>
              <w:tblStyle w:val="KisiTabel"/>
              <w:tblW w:w="2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tblGrid>
            <w:tr w:rsidR="00DA6497" w:rsidRPr="00504223" w:rsidTr="0043610A">
              <w:tc>
                <w:tcPr>
                  <w:tcW w:w="2581" w:type="dxa"/>
                </w:tcPr>
                <w:p w:rsidR="00DA6497" w:rsidRPr="00504223" w:rsidRDefault="00DA6497" w:rsidP="0043610A">
                  <w:pPr>
                    <w:ind w:left="-225" w:right="-116" w:firstLine="142"/>
                    <w:jc w:val="both"/>
                    <w:rPr>
                      <w:rFonts w:ascii="Cambria" w:hAnsi="Cambria"/>
                      <w:sz w:val="18"/>
                      <w:szCs w:val="18"/>
                    </w:rPr>
                  </w:pPr>
                  <w:r w:rsidRPr="00504223">
                    <w:rPr>
                      <w:rFonts w:ascii="Cambria" w:hAnsi="Cambria"/>
                      <w:sz w:val="18"/>
                      <w:szCs w:val="18"/>
                    </w:rPr>
                    <w:t>Received: 24 Juni 2026</w:t>
                  </w:r>
                </w:p>
              </w:tc>
            </w:tr>
            <w:tr w:rsidR="00DA6497" w:rsidRPr="00504223" w:rsidTr="0043610A">
              <w:tc>
                <w:tcPr>
                  <w:tcW w:w="2581" w:type="dxa"/>
                </w:tcPr>
                <w:p w:rsidR="00DA6497" w:rsidRPr="00504223" w:rsidRDefault="00DA6497" w:rsidP="0043610A">
                  <w:pPr>
                    <w:ind w:left="-83"/>
                    <w:jc w:val="both"/>
                    <w:rPr>
                      <w:rFonts w:ascii="Cambria" w:hAnsi="Cambria"/>
                      <w:sz w:val="18"/>
                      <w:szCs w:val="18"/>
                    </w:rPr>
                  </w:pPr>
                  <w:r w:rsidRPr="00504223">
                    <w:rPr>
                      <w:rFonts w:ascii="Cambria" w:hAnsi="Cambria"/>
                      <w:sz w:val="18"/>
                      <w:szCs w:val="18"/>
                    </w:rPr>
                    <w:t>Accepted: 24 Juni 2026</w:t>
                  </w:r>
                </w:p>
              </w:tc>
            </w:tr>
            <w:tr w:rsidR="00DA6497" w:rsidRPr="00504223" w:rsidTr="0043610A">
              <w:tc>
                <w:tcPr>
                  <w:tcW w:w="2581" w:type="dxa"/>
                </w:tcPr>
                <w:p w:rsidR="00DA6497" w:rsidRPr="00504223" w:rsidRDefault="00DA6497" w:rsidP="0043610A">
                  <w:pPr>
                    <w:ind w:left="-83"/>
                    <w:jc w:val="both"/>
                    <w:rPr>
                      <w:rFonts w:ascii="Cambria" w:hAnsi="Cambria"/>
                      <w:sz w:val="18"/>
                      <w:szCs w:val="18"/>
                    </w:rPr>
                  </w:pPr>
                  <w:r w:rsidRPr="00504223">
                    <w:rPr>
                      <w:rFonts w:ascii="Cambria" w:hAnsi="Cambria"/>
                      <w:sz w:val="18"/>
                      <w:szCs w:val="18"/>
                    </w:rPr>
                    <w:t>Revised: 24 Juni 2026</w:t>
                  </w:r>
                </w:p>
              </w:tc>
            </w:tr>
            <w:tr w:rsidR="00DA6497" w:rsidRPr="00504223" w:rsidTr="0043610A">
              <w:tc>
                <w:tcPr>
                  <w:tcW w:w="2581" w:type="dxa"/>
                </w:tcPr>
                <w:p w:rsidR="00DA6497" w:rsidRPr="00504223" w:rsidRDefault="00DA6497" w:rsidP="0043610A">
                  <w:pPr>
                    <w:ind w:left="-83"/>
                    <w:jc w:val="both"/>
                    <w:rPr>
                      <w:rFonts w:ascii="Cambria" w:hAnsi="Cambria"/>
                      <w:sz w:val="18"/>
                      <w:szCs w:val="18"/>
                    </w:rPr>
                  </w:pPr>
                  <w:r w:rsidRPr="00504223">
                    <w:rPr>
                      <w:rFonts w:ascii="Cambria" w:hAnsi="Cambria"/>
                      <w:sz w:val="18"/>
                      <w:szCs w:val="18"/>
                    </w:rPr>
                    <w:t>Published: 25 Juni 2026</w:t>
                  </w:r>
                </w:p>
              </w:tc>
            </w:tr>
          </w:tbl>
          <w:p w:rsidR="00DA6497" w:rsidRPr="00504223" w:rsidRDefault="00DA6497" w:rsidP="0043610A">
            <w:pPr>
              <w:pBdr>
                <w:top w:val="nil"/>
                <w:left w:val="nil"/>
                <w:bottom w:val="nil"/>
                <w:right w:val="nil"/>
                <w:between w:val="nil"/>
              </w:pBdr>
              <w:rPr>
                <w:rFonts w:ascii="Cambria" w:hAnsi="Cambria"/>
                <w:sz w:val="20"/>
                <w:szCs w:val="20"/>
              </w:rPr>
            </w:pPr>
          </w:p>
        </w:tc>
        <w:tc>
          <w:tcPr>
            <w:tcW w:w="6486" w:type="dxa"/>
            <w:vMerge w:val="restart"/>
          </w:tcPr>
          <w:p w:rsidR="00923102" w:rsidRPr="00504223" w:rsidRDefault="00923102" w:rsidP="00923102">
            <w:pPr>
              <w:jc w:val="both"/>
              <w:rPr>
                <w:rFonts w:ascii="Cambria" w:hAnsi="Cambria"/>
                <w:sz w:val="22"/>
                <w:szCs w:val="22"/>
              </w:rPr>
            </w:pPr>
            <w:r w:rsidRPr="00504223">
              <w:rPr>
                <w:rFonts w:ascii="Cambria" w:hAnsi="Cambria"/>
                <w:sz w:val="22"/>
                <w:szCs w:val="22"/>
              </w:rPr>
              <w:t xml:space="preserve">Penelitian ini bertujuan untuk menganalisis pengaruh </w:t>
            </w:r>
            <w:r w:rsidRPr="00504223">
              <w:rPr>
                <w:rStyle w:val="Penekanan"/>
                <w:rFonts w:ascii="Cambria" w:eastAsiaTheme="majorEastAsia" w:hAnsi="Cambria"/>
                <w:sz w:val="22"/>
                <w:szCs w:val="22"/>
              </w:rPr>
              <w:t>Debt to Equity Ratio</w:t>
            </w:r>
            <w:r w:rsidRPr="00504223">
              <w:rPr>
                <w:rFonts w:ascii="Cambria" w:hAnsi="Cambria"/>
                <w:sz w:val="22"/>
                <w:szCs w:val="22"/>
              </w:rPr>
              <w:t xml:space="preserve"> (DER), </w:t>
            </w:r>
            <w:r w:rsidRPr="00504223">
              <w:rPr>
                <w:rStyle w:val="Penekanan"/>
                <w:rFonts w:ascii="Cambria" w:eastAsiaTheme="majorEastAsia" w:hAnsi="Cambria"/>
                <w:sz w:val="22"/>
                <w:szCs w:val="22"/>
              </w:rPr>
              <w:t>Earnings per Share</w:t>
            </w:r>
            <w:r w:rsidRPr="00504223">
              <w:rPr>
                <w:rFonts w:ascii="Cambria" w:hAnsi="Cambria"/>
                <w:sz w:val="22"/>
                <w:szCs w:val="22"/>
              </w:rPr>
              <w:t xml:space="preserve"> (EPS), dan </w:t>
            </w:r>
            <w:r w:rsidRPr="00504223">
              <w:rPr>
                <w:rStyle w:val="Penekanan"/>
                <w:rFonts w:ascii="Cambria" w:eastAsiaTheme="majorEastAsia" w:hAnsi="Cambria"/>
                <w:sz w:val="22"/>
                <w:szCs w:val="22"/>
              </w:rPr>
              <w:t>Return on Equity</w:t>
            </w:r>
            <w:r w:rsidRPr="00504223">
              <w:rPr>
                <w:rFonts w:ascii="Cambria" w:hAnsi="Cambria"/>
                <w:sz w:val="22"/>
                <w:szCs w:val="22"/>
              </w:rPr>
              <w:t xml:space="preserve"> (ROE) terhadap nilai perusahaan pada perusahaan sektor telekomunikasi yang terdaftar di Bursa Efek Indonesia periode 2022–2024. Penelitian menggunakan pendekatan kuantitatif dengan data sekunder yang diperoleh dari laporan keuangan perusahaan. Teknik penentuan sampel menggunakan metode sensus sehingga diperoleh 54 unit observasi. Analisis data dilakukan menggunakan regresi linear berganda dengan bantuan perangkat lunak SPSS versi 25. Hasil penelitian menunjukkan bahwa secara simultan DER, EPS, dan ROE berpengaruh signifikan terhadap nilai perusahaan. Secara parsial, DER, EPS, dan ROE juga menunjukkan pengaruh signifikan terhadap nilai perusahaan. Nilai koefisien determinasi menunjukkan bahwa model mampu menjelaskan variasi nilai perusahaan sebesar 77%, sedangkan sisanya dipengaruhi oleh faktor lain di luar model penelitian. Temuan ini mengindikasikan bahwa keputusan struktur modal dan kemampuan perusahaan dalam menghasilkan laba menjadi faktor penting dalam meningkatkan persepsi investor terhadap nilai perusahaan. Penelitian ini memberikan implikasi bagi manajemen perusahaan dalam mengoptimalkan kebijakan pendanaan dan peningkatan profitabilitas untuk memperkuat nilai perusahaan.</w:t>
            </w:r>
          </w:p>
          <w:p w:rsidR="00DA6497" w:rsidRPr="00504223" w:rsidRDefault="00DA6497" w:rsidP="0043610A">
            <w:pPr>
              <w:jc w:val="both"/>
              <w:rPr>
                <w:rFonts w:ascii="Cambria" w:hAnsi="Cambria"/>
                <w:sz w:val="22"/>
                <w:szCs w:val="22"/>
              </w:rPr>
            </w:pPr>
          </w:p>
          <w:p w:rsidR="00DA6497" w:rsidRPr="00504223" w:rsidRDefault="00DA6497" w:rsidP="0043610A">
            <w:pPr>
              <w:tabs>
                <w:tab w:val="left" w:pos="2267"/>
              </w:tabs>
              <w:spacing w:after="240"/>
              <w:jc w:val="both"/>
              <w:rPr>
                <w:rFonts w:ascii="Cambria" w:hAnsi="Cambria"/>
                <w:bCs/>
                <w:sz w:val="22"/>
                <w:szCs w:val="22"/>
                <w:lang w:val="en-US"/>
              </w:rPr>
            </w:pPr>
            <w:r w:rsidRPr="00504223">
              <w:rPr>
                <w:rFonts w:ascii="Cambria" w:hAnsi="Cambria"/>
                <w:b/>
                <w:iCs/>
                <w:sz w:val="22"/>
                <w:szCs w:val="22"/>
              </w:rPr>
              <w:t xml:space="preserve">Kata Kunci: </w:t>
            </w:r>
            <w:r w:rsidRPr="00504223">
              <w:rPr>
                <w:rFonts w:ascii="Cambria" w:hAnsi="Cambria"/>
                <w:bCs/>
                <w:sz w:val="22"/>
                <w:szCs w:val="22"/>
              </w:rPr>
              <w:t xml:space="preserve">Debt </w:t>
            </w:r>
            <w:r w:rsidRPr="00504223">
              <w:rPr>
                <w:rFonts w:ascii="Cambria" w:hAnsi="Cambria"/>
                <w:bCs/>
                <w:sz w:val="22"/>
                <w:szCs w:val="22"/>
                <w:lang w:val="en-US"/>
              </w:rPr>
              <w:t>t</w:t>
            </w:r>
            <w:r w:rsidRPr="00504223">
              <w:rPr>
                <w:rFonts w:ascii="Cambria" w:hAnsi="Cambria"/>
                <w:bCs/>
                <w:sz w:val="22"/>
                <w:szCs w:val="22"/>
              </w:rPr>
              <w:t>o Equity Ratio</w:t>
            </w:r>
            <w:r w:rsidRPr="00504223">
              <w:rPr>
                <w:rFonts w:ascii="Cambria" w:hAnsi="Cambria"/>
                <w:bCs/>
                <w:sz w:val="22"/>
                <w:szCs w:val="22"/>
                <w:lang w:val="en-US"/>
              </w:rPr>
              <w:t>;</w:t>
            </w:r>
            <w:r w:rsidRPr="00504223">
              <w:rPr>
                <w:rFonts w:ascii="Cambria" w:hAnsi="Cambria"/>
                <w:bCs/>
                <w:sz w:val="22"/>
                <w:szCs w:val="22"/>
              </w:rPr>
              <w:t xml:space="preserve"> Earning Per Share</w:t>
            </w:r>
            <w:r w:rsidRPr="00504223">
              <w:rPr>
                <w:rFonts w:ascii="Cambria" w:hAnsi="Cambria"/>
                <w:bCs/>
                <w:sz w:val="22"/>
                <w:szCs w:val="22"/>
                <w:lang w:val="en-US"/>
              </w:rPr>
              <w:t xml:space="preserve">; </w:t>
            </w:r>
            <w:r w:rsidRPr="00504223">
              <w:rPr>
                <w:rFonts w:ascii="Cambria" w:hAnsi="Cambria"/>
                <w:bCs/>
                <w:sz w:val="22"/>
                <w:szCs w:val="22"/>
              </w:rPr>
              <w:t xml:space="preserve">Return </w:t>
            </w:r>
            <w:r w:rsidRPr="00504223">
              <w:rPr>
                <w:rFonts w:ascii="Cambria" w:hAnsi="Cambria"/>
                <w:bCs/>
                <w:sz w:val="22"/>
                <w:szCs w:val="22"/>
                <w:lang w:val="en-US"/>
              </w:rPr>
              <w:t>o</w:t>
            </w:r>
            <w:r w:rsidRPr="00504223">
              <w:rPr>
                <w:rFonts w:ascii="Cambria" w:hAnsi="Cambria"/>
                <w:bCs/>
                <w:sz w:val="22"/>
                <w:szCs w:val="22"/>
              </w:rPr>
              <w:t>n Equity</w:t>
            </w:r>
            <w:r w:rsidRPr="00504223">
              <w:rPr>
                <w:rFonts w:ascii="Cambria" w:hAnsi="Cambria"/>
                <w:bCs/>
                <w:sz w:val="22"/>
                <w:szCs w:val="22"/>
                <w:lang w:val="en-US"/>
              </w:rPr>
              <w:t xml:space="preserve">; </w:t>
            </w:r>
            <w:r w:rsidRPr="00504223">
              <w:rPr>
                <w:rFonts w:ascii="Cambria" w:hAnsi="Cambria"/>
                <w:bCs/>
                <w:sz w:val="22"/>
                <w:szCs w:val="22"/>
              </w:rPr>
              <w:t>Nilai Perusahaan</w:t>
            </w:r>
            <w:r w:rsidR="00923102" w:rsidRPr="00504223">
              <w:rPr>
                <w:rFonts w:ascii="Cambria" w:hAnsi="Cambria"/>
                <w:bCs/>
                <w:sz w:val="22"/>
                <w:szCs w:val="22"/>
                <w:lang w:val="en-US"/>
              </w:rPr>
              <w:t>; Telekomunikasi</w:t>
            </w:r>
          </w:p>
          <w:p w:rsidR="00DA6497" w:rsidRPr="00504223" w:rsidRDefault="00DA6497" w:rsidP="0043610A">
            <w:pPr>
              <w:pBdr>
                <w:top w:val="nil"/>
                <w:left w:val="nil"/>
                <w:bottom w:val="nil"/>
                <w:right w:val="nil"/>
                <w:between w:val="nil"/>
              </w:pBdr>
              <w:jc w:val="both"/>
              <w:rPr>
                <w:rFonts w:ascii="Cambria" w:hAnsi="Cambria"/>
                <w:b/>
                <w:i/>
                <w:iCs/>
                <w:sz w:val="22"/>
                <w:szCs w:val="22"/>
              </w:rPr>
            </w:pPr>
            <w:r w:rsidRPr="00504223">
              <w:rPr>
                <w:rFonts w:ascii="Cambria" w:hAnsi="Cambria"/>
                <w:b/>
                <w:i/>
                <w:iCs/>
                <w:sz w:val="22"/>
                <w:szCs w:val="22"/>
              </w:rPr>
              <w:t xml:space="preserve">Abstract </w:t>
            </w:r>
          </w:p>
          <w:p w:rsidR="00923102" w:rsidRPr="00504223" w:rsidRDefault="00923102" w:rsidP="0043610A">
            <w:pPr>
              <w:pStyle w:val="NormalWeb"/>
              <w:spacing w:before="0" w:beforeAutospacing="0"/>
              <w:jc w:val="both"/>
              <w:rPr>
                <w:rFonts w:ascii="Cambria" w:hAnsi="Cambria"/>
                <w:sz w:val="22"/>
                <w:szCs w:val="22"/>
              </w:rPr>
            </w:pPr>
            <w:r w:rsidRPr="00504223">
              <w:rPr>
                <w:rFonts w:ascii="Cambria" w:hAnsi="Cambria"/>
                <w:sz w:val="22"/>
                <w:szCs w:val="22"/>
              </w:rPr>
              <w:t xml:space="preserve">This study aims to examine the effect of </w:t>
            </w:r>
            <w:r w:rsidRPr="00504223">
              <w:rPr>
                <w:rStyle w:val="Penekanan"/>
                <w:rFonts w:ascii="Cambria" w:eastAsiaTheme="majorEastAsia" w:hAnsi="Cambria"/>
                <w:sz w:val="22"/>
                <w:szCs w:val="22"/>
              </w:rPr>
              <w:t>Debt to Equity Ratio</w:t>
            </w:r>
            <w:r w:rsidRPr="00504223">
              <w:rPr>
                <w:rFonts w:ascii="Cambria" w:hAnsi="Cambria"/>
                <w:sz w:val="22"/>
                <w:szCs w:val="22"/>
              </w:rPr>
              <w:t xml:space="preserve"> (DER), </w:t>
            </w:r>
            <w:r w:rsidRPr="00504223">
              <w:rPr>
                <w:rStyle w:val="Penekanan"/>
                <w:rFonts w:ascii="Cambria" w:eastAsiaTheme="majorEastAsia" w:hAnsi="Cambria"/>
                <w:sz w:val="22"/>
                <w:szCs w:val="22"/>
              </w:rPr>
              <w:t>Earnings per Share</w:t>
            </w:r>
            <w:r w:rsidRPr="00504223">
              <w:rPr>
                <w:rFonts w:ascii="Cambria" w:hAnsi="Cambria"/>
                <w:sz w:val="22"/>
                <w:szCs w:val="22"/>
              </w:rPr>
              <w:t xml:space="preserve"> (EPS), and </w:t>
            </w:r>
            <w:r w:rsidRPr="00504223">
              <w:rPr>
                <w:rStyle w:val="Penekanan"/>
                <w:rFonts w:ascii="Cambria" w:eastAsiaTheme="majorEastAsia" w:hAnsi="Cambria"/>
                <w:sz w:val="22"/>
                <w:szCs w:val="22"/>
              </w:rPr>
              <w:t>Return on Equity</w:t>
            </w:r>
            <w:r w:rsidRPr="00504223">
              <w:rPr>
                <w:rFonts w:ascii="Cambria" w:hAnsi="Cambria"/>
                <w:sz w:val="22"/>
                <w:szCs w:val="22"/>
              </w:rPr>
              <w:t xml:space="preserve"> (ROE) on firm value in telecommunication sector companies listed on the Indonesia Stock Exchange during 2022–2024. This study employed a quantitative approach using secondary data derived from corporate financial reports. The sampling technique applied was census sampling, resulting in 54 observations. Data were analyzed </w:t>
            </w:r>
            <w:r w:rsidRPr="00504223">
              <w:rPr>
                <w:rFonts w:ascii="Cambria" w:hAnsi="Cambria"/>
                <w:sz w:val="22"/>
                <w:szCs w:val="22"/>
              </w:rPr>
              <w:lastRenderedPageBreak/>
              <w:t>using multiple linear regression with SPSS version 25. The findings indicate that DER, EPS, and ROE simultaneously have a significant effect on firm value. Partially, each variable also demonstrates a significant relationship with firm value. The coefficient of determination shows that the model explains 77% of firm value variation, while the remaining proportion is influenced by variables outside the research model. These findings imply that capital structure decisions and profitability performance play an important role in improving investor perceptions and enhancing firm value.</w:t>
            </w:r>
          </w:p>
          <w:p w:rsidR="00DA6497" w:rsidRPr="00504223" w:rsidRDefault="00DA6497" w:rsidP="0043610A">
            <w:pPr>
              <w:pStyle w:val="NormalWeb"/>
              <w:spacing w:before="0" w:beforeAutospacing="0"/>
              <w:jc w:val="both"/>
              <w:rPr>
                <w:rFonts w:ascii="Cambria" w:hAnsi="Cambria"/>
                <w:sz w:val="22"/>
                <w:szCs w:val="22"/>
                <w:lang w:val="en-US"/>
              </w:rPr>
            </w:pPr>
            <w:r w:rsidRPr="00504223">
              <w:rPr>
                <w:rFonts w:ascii="Cambria" w:hAnsi="Cambria"/>
                <w:b/>
                <w:bCs/>
                <w:i/>
                <w:iCs/>
                <w:sz w:val="22"/>
                <w:szCs w:val="22"/>
              </w:rPr>
              <w:t>Keywords</w:t>
            </w:r>
            <w:r w:rsidRPr="00504223">
              <w:rPr>
                <w:rFonts w:ascii="Cambria" w:hAnsi="Cambria"/>
                <w:i/>
                <w:iCs/>
                <w:sz w:val="22"/>
                <w:szCs w:val="22"/>
              </w:rPr>
              <w:t xml:space="preserve">: </w:t>
            </w:r>
            <w:r w:rsidRPr="00504223">
              <w:rPr>
                <w:rFonts w:ascii="Cambria" w:hAnsi="Cambria"/>
                <w:bCs/>
                <w:i/>
                <w:sz w:val="22"/>
                <w:szCs w:val="22"/>
              </w:rPr>
              <w:t xml:space="preserve">Debt </w:t>
            </w:r>
            <w:r w:rsidRPr="00504223">
              <w:rPr>
                <w:rFonts w:ascii="Cambria" w:hAnsi="Cambria"/>
                <w:bCs/>
                <w:i/>
                <w:sz w:val="22"/>
                <w:szCs w:val="22"/>
                <w:lang w:val="en-US"/>
              </w:rPr>
              <w:t>t</w:t>
            </w:r>
            <w:r w:rsidRPr="00504223">
              <w:rPr>
                <w:rFonts w:ascii="Cambria" w:hAnsi="Cambria"/>
                <w:bCs/>
                <w:i/>
                <w:sz w:val="22"/>
                <w:szCs w:val="22"/>
              </w:rPr>
              <w:t>o Equity Ratio</w:t>
            </w:r>
            <w:r w:rsidRPr="00504223">
              <w:rPr>
                <w:rFonts w:ascii="Cambria" w:hAnsi="Cambria"/>
                <w:bCs/>
                <w:i/>
                <w:sz w:val="22"/>
                <w:szCs w:val="22"/>
                <w:lang w:val="en-US"/>
              </w:rPr>
              <w:t xml:space="preserve">; </w:t>
            </w:r>
            <w:r w:rsidRPr="00504223">
              <w:rPr>
                <w:rFonts w:ascii="Cambria" w:hAnsi="Cambria"/>
                <w:bCs/>
                <w:i/>
                <w:sz w:val="22"/>
                <w:szCs w:val="22"/>
              </w:rPr>
              <w:t xml:space="preserve">Earnings </w:t>
            </w:r>
            <w:r w:rsidR="00923102" w:rsidRPr="00504223">
              <w:rPr>
                <w:rFonts w:ascii="Cambria" w:hAnsi="Cambria"/>
                <w:bCs/>
                <w:i/>
                <w:sz w:val="22"/>
                <w:szCs w:val="22"/>
                <w:lang w:val="en-US"/>
              </w:rPr>
              <w:t>p</w:t>
            </w:r>
            <w:r w:rsidRPr="00504223">
              <w:rPr>
                <w:rFonts w:ascii="Cambria" w:hAnsi="Cambria"/>
                <w:bCs/>
                <w:i/>
                <w:sz w:val="22"/>
                <w:szCs w:val="22"/>
              </w:rPr>
              <w:t>er Share</w:t>
            </w:r>
            <w:r w:rsidRPr="00504223">
              <w:rPr>
                <w:rFonts w:ascii="Cambria" w:hAnsi="Cambria"/>
                <w:bCs/>
                <w:i/>
                <w:sz w:val="22"/>
                <w:szCs w:val="22"/>
                <w:lang w:val="en-US"/>
              </w:rPr>
              <w:t xml:space="preserve">; </w:t>
            </w:r>
            <w:r w:rsidRPr="00504223">
              <w:rPr>
                <w:rFonts w:ascii="Cambria" w:hAnsi="Cambria"/>
                <w:bCs/>
                <w:i/>
                <w:sz w:val="22"/>
                <w:szCs w:val="22"/>
              </w:rPr>
              <w:t xml:space="preserve">Return </w:t>
            </w:r>
            <w:r w:rsidRPr="00504223">
              <w:rPr>
                <w:rFonts w:ascii="Cambria" w:hAnsi="Cambria"/>
                <w:bCs/>
                <w:i/>
                <w:sz w:val="22"/>
                <w:szCs w:val="22"/>
                <w:lang w:val="en-US"/>
              </w:rPr>
              <w:t>o</w:t>
            </w:r>
            <w:r w:rsidRPr="00504223">
              <w:rPr>
                <w:rFonts w:ascii="Cambria" w:hAnsi="Cambria"/>
                <w:bCs/>
                <w:i/>
                <w:sz w:val="22"/>
                <w:szCs w:val="22"/>
              </w:rPr>
              <w:t>n Equity</w:t>
            </w:r>
            <w:r w:rsidRPr="00504223">
              <w:rPr>
                <w:rFonts w:ascii="Cambria" w:hAnsi="Cambria"/>
                <w:bCs/>
                <w:i/>
                <w:sz w:val="22"/>
                <w:szCs w:val="22"/>
                <w:lang w:val="en-US"/>
              </w:rPr>
              <w:t xml:space="preserve">; </w:t>
            </w:r>
            <w:r w:rsidR="00923102" w:rsidRPr="00504223">
              <w:rPr>
                <w:rFonts w:ascii="Cambria" w:hAnsi="Cambria"/>
                <w:bCs/>
                <w:i/>
                <w:sz w:val="22"/>
                <w:szCs w:val="22"/>
                <w:lang w:val="en-US"/>
              </w:rPr>
              <w:t xml:space="preserve">Firm </w:t>
            </w:r>
            <w:r w:rsidRPr="00504223">
              <w:rPr>
                <w:rFonts w:ascii="Cambria" w:hAnsi="Cambria"/>
                <w:bCs/>
                <w:i/>
                <w:sz w:val="22"/>
                <w:szCs w:val="22"/>
              </w:rPr>
              <w:t>Value</w:t>
            </w:r>
            <w:r w:rsidR="00923102" w:rsidRPr="00504223">
              <w:rPr>
                <w:rFonts w:ascii="Cambria" w:hAnsi="Cambria"/>
                <w:bCs/>
                <w:i/>
                <w:sz w:val="22"/>
                <w:szCs w:val="22"/>
                <w:lang w:val="en-US"/>
              </w:rPr>
              <w:t>; Telecommunication Sector</w:t>
            </w:r>
          </w:p>
        </w:tc>
      </w:tr>
      <w:tr w:rsidR="00DA6497" w:rsidRPr="00504223" w:rsidTr="0043610A">
        <w:trPr>
          <w:trHeight w:val="529"/>
        </w:trPr>
        <w:tc>
          <w:tcPr>
            <w:tcW w:w="2694" w:type="dxa"/>
            <w:gridSpan w:val="2"/>
          </w:tcPr>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8"/>
            </w:tblGrid>
            <w:tr w:rsidR="00DA6497" w:rsidRPr="00504223" w:rsidTr="0043610A">
              <w:tc>
                <w:tcPr>
                  <w:tcW w:w="2468" w:type="dxa"/>
                </w:tcPr>
                <w:p w:rsidR="00DA6497" w:rsidRPr="00504223" w:rsidRDefault="00DA6497" w:rsidP="0043610A">
                  <w:pPr>
                    <w:ind w:left="-83"/>
                    <w:jc w:val="both"/>
                    <w:rPr>
                      <w:rFonts w:ascii="Cambria" w:hAnsi="Cambria"/>
                      <w:sz w:val="20"/>
                      <w:szCs w:val="20"/>
                    </w:rPr>
                  </w:pPr>
                  <w:r w:rsidRPr="00504223">
                    <w:rPr>
                      <w:rFonts w:ascii="Cambria" w:hAnsi="Cambria"/>
                      <w:sz w:val="20"/>
                      <w:szCs w:val="20"/>
                    </w:rPr>
                    <w:t>DOI:</w:t>
                  </w:r>
                </w:p>
              </w:tc>
            </w:tr>
            <w:tr w:rsidR="00DA6497" w:rsidRPr="00504223" w:rsidTr="0043610A">
              <w:tc>
                <w:tcPr>
                  <w:tcW w:w="2468" w:type="dxa"/>
                </w:tcPr>
                <w:p w:rsidR="00DA6497" w:rsidRPr="00504223" w:rsidRDefault="00DA6497" w:rsidP="0043610A">
                  <w:pPr>
                    <w:ind w:left="-83"/>
                    <w:jc w:val="both"/>
                    <w:rPr>
                      <w:rFonts w:ascii="Cambria" w:hAnsi="Cambria"/>
                      <w:sz w:val="20"/>
                      <w:szCs w:val="20"/>
                    </w:rPr>
                  </w:pPr>
                  <w:hyperlink r:id="rId12" w:history="1">
                    <w:r w:rsidRPr="00504223">
                      <w:rPr>
                        <w:rStyle w:val="Hyperlink"/>
                        <w:rFonts w:ascii="Cambria" w:hAnsi="Cambria"/>
                        <w:color w:val="337755"/>
                        <w:sz w:val="18"/>
                        <w:szCs w:val="18"/>
                      </w:rPr>
                      <w:t>10.63435/</w:t>
                    </w:r>
                    <w:proofErr w:type="gramStart"/>
                    <w:r w:rsidRPr="00504223">
                      <w:rPr>
                        <w:rStyle w:val="Hyperlink"/>
                        <w:rFonts w:ascii="Cambria" w:hAnsi="Cambria"/>
                        <w:color w:val="337755"/>
                        <w:sz w:val="18"/>
                        <w:szCs w:val="18"/>
                      </w:rPr>
                      <w:t>finest.v</w:t>
                    </w:r>
                    <w:proofErr w:type="gramEnd"/>
                    <w:r w:rsidRPr="00504223">
                      <w:rPr>
                        <w:rStyle w:val="Hyperlink"/>
                        <w:rFonts w:ascii="Cambria" w:hAnsi="Cambria"/>
                        <w:color w:val="337755"/>
                        <w:sz w:val="18"/>
                        <w:szCs w:val="18"/>
                      </w:rPr>
                      <w:t>9i2.4820</w:t>
                    </w:r>
                  </w:hyperlink>
                </w:p>
              </w:tc>
            </w:tr>
          </w:tbl>
          <w:p w:rsidR="00DA6497" w:rsidRPr="00504223" w:rsidRDefault="00DA6497" w:rsidP="0043610A">
            <w:pPr>
              <w:pBdr>
                <w:top w:val="nil"/>
                <w:left w:val="nil"/>
                <w:bottom w:val="nil"/>
                <w:right w:val="nil"/>
                <w:between w:val="nil"/>
              </w:pBdr>
              <w:jc w:val="both"/>
              <w:rPr>
                <w:rFonts w:ascii="Cambria" w:hAnsi="Cambria"/>
                <w:sz w:val="20"/>
                <w:szCs w:val="20"/>
              </w:rPr>
            </w:pPr>
          </w:p>
        </w:tc>
        <w:tc>
          <w:tcPr>
            <w:tcW w:w="6486" w:type="dxa"/>
            <w:vMerge/>
          </w:tcPr>
          <w:p w:rsidR="00DA6497" w:rsidRPr="00504223" w:rsidRDefault="00DA6497" w:rsidP="0043610A">
            <w:pPr>
              <w:widowControl w:val="0"/>
              <w:pBdr>
                <w:top w:val="nil"/>
                <w:left w:val="nil"/>
                <w:bottom w:val="nil"/>
                <w:right w:val="nil"/>
                <w:between w:val="nil"/>
              </w:pBdr>
              <w:spacing w:line="276" w:lineRule="auto"/>
              <w:rPr>
                <w:rFonts w:ascii="Cambria" w:hAnsi="Cambria"/>
                <w:sz w:val="20"/>
                <w:szCs w:val="20"/>
              </w:rPr>
            </w:pPr>
          </w:p>
        </w:tc>
      </w:tr>
      <w:tr w:rsidR="00DA6497" w:rsidRPr="00504223" w:rsidTr="0043610A">
        <w:tc>
          <w:tcPr>
            <w:tcW w:w="2694" w:type="dxa"/>
            <w:gridSpan w:val="2"/>
          </w:tcPr>
          <w:p w:rsidR="00DA6497" w:rsidRPr="00504223" w:rsidRDefault="00DA6497" w:rsidP="0043610A">
            <w:pPr>
              <w:pBdr>
                <w:top w:val="nil"/>
                <w:left w:val="nil"/>
                <w:bottom w:val="nil"/>
                <w:right w:val="nil"/>
                <w:between w:val="nil"/>
              </w:pBdr>
              <w:jc w:val="both"/>
              <w:rPr>
                <w:rFonts w:ascii="Cambria" w:hAnsi="Cambria"/>
                <w:b/>
                <w:sz w:val="20"/>
                <w:szCs w:val="20"/>
              </w:rPr>
            </w:pPr>
          </w:p>
          <w:p w:rsidR="00DA6497" w:rsidRPr="00504223" w:rsidRDefault="00DA6497" w:rsidP="0043610A">
            <w:pPr>
              <w:pBdr>
                <w:top w:val="nil"/>
                <w:left w:val="nil"/>
                <w:bottom w:val="nil"/>
                <w:right w:val="nil"/>
                <w:between w:val="nil"/>
              </w:pBdr>
              <w:jc w:val="both"/>
              <w:rPr>
                <w:rFonts w:ascii="Cambria" w:hAnsi="Cambria"/>
                <w:sz w:val="20"/>
                <w:szCs w:val="20"/>
              </w:rPr>
            </w:pPr>
          </w:p>
          <w:p w:rsidR="00DA6497" w:rsidRPr="00504223" w:rsidRDefault="00DA6497" w:rsidP="0043610A">
            <w:pPr>
              <w:pBdr>
                <w:top w:val="nil"/>
                <w:left w:val="nil"/>
                <w:bottom w:val="nil"/>
                <w:right w:val="nil"/>
                <w:between w:val="nil"/>
              </w:pBdr>
              <w:jc w:val="both"/>
              <w:rPr>
                <w:rFonts w:ascii="Cambria" w:hAnsi="Cambria"/>
                <w:sz w:val="20"/>
                <w:szCs w:val="20"/>
              </w:rPr>
            </w:pPr>
          </w:p>
        </w:tc>
        <w:tc>
          <w:tcPr>
            <w:tcW w:w="6486" w:type="dxa"/>
            <w:vMerge/>
          </w:tcPr>
          <w:p w:rsidR="00DA6497" w:rsidRPr="00504223" w:rsidRDefault="00DA6497" w:rsidP="0043610A">
            <w:pPr>
              <w:widowControl w:val="0"/>
              <w:pBdr>
                <w:top w:val="nil"/>
                <w:left w:val="nil"/>
                <w:bottom w:val="nil"/>
                <w:right w:val="nil"/>
                <w:between w:val="nil"/>
              </w:pBdr>
              <w:spacing w:line="276" w:lineRule="auto"/>
              <w:rPr>
                <w:rFonts w:ascii="Cambria" w:hAnsi="Cambria"/>
                <w:sz w:val="20"/>
                <w:szCs w:val="20"/>
              </w:rPr>
            </w:pPr>
          </w:p>
        </w:tc>
      </w:tr>
      <w:tr w:rsidR="00DA6497" w:rsidRPr="00504223" w:rsidTr="0043610A">
        <w:tc>
          <w:tcPr>
            <w:tcW w:w="2694" w:type="dxa"/>
            <w:gridSpan w:val="2"/>
          </w:tcPr>
          <w:p w:rsidR="00DA6497" w:rsidRPr="00504223" w:rsidRDefault="00DA6497" w:rsidP="0043610A">
            <w:pPr>
              <w:pBdr>
                <w:top w:val="nil"/>
                <w:left w:val="nil"/>
                <w:bottom w:val="nil"/>
                <w:right w:val="nil"/>
                <w:between w:val="nil"/>
              </w:pBdr>
              <w:jc w:val="both"/>
              <w:rPr>
                <w:rFonts w:ascii="Cambria" w:hAnsi="Cambria"/>
                <w:sz w:val="20"/>
                <w:szCs w:val="20"/>
              </w:rPr>
            </w:pPr>
          </w:p>
        </w:tc>
        <w:tc>
          <w:tcPr>
            <w:tcW w:w="6486" w:type="dxa"/>
            <w:vMerge/>
          </w:tcPr>
          <w:p w:rsidR="00DA6497" w:rsidRPr="00504223" w:rsidRDefault="00DA6497" w:rsidP="0043610A">
            <w:pPr>
              <w:widowControl w:val="0"/>
              <w:pBdr>
                <w:top w:val="nil"/>
                <w:left w:val="nil"/>
                <w:bottom w:val="nil"/>
                <w:right w:val="nil"/>
                <w:between w:val="nil"/>
              </w:pBdr>
              <w:spacing w:line="276" w:lineRule="auto"/>
              <w:rPr>
                <w:rFonts w:ascii="Cambria" w:hAnsi="Cambria"/>
                <w:sz w:val="20"/>
                <w:szCs w:val="20"/>
              </w:rPr>
            </w:pPr>
          </w:p>
        </w:tc>
      </w:tr>
    </w:tbl>
    <w:p w:rsidR="00DA6497" w:rsidRPr="00504223" w:rsidRDefault="00DA6497" w:rsidP="00DA6497">
      <w:pPr>
        <w:pBdr>
          <w:top w:val="nil"/>
          <w:left w:val="nil"/>
          <w:bottom w:val="nil"/>
          <w:right w:val="nil"/>
          <w:between w:val="nil"/>
        </w:pBdr>
        <w:jc w:val="both"/>
        <w:rPr>
          <w:rFonts w:ascii="Cambria" w:hAnsi="Cambria"/>
          <w:color w:val="000000"/>
          <w:sz w:val="20"/>
          <w:szCs w:val="20"/>
          <w:lang w:val="en-US"/>
        </w:rPr>
      </w:pPr>
      <w:r w:rsidRPr="00504223">
        <w:rPr>
          <w:rFonts w:ascii="Cambria" w:hAnsi="Cambria"/>
          <w:color w:val="000000"/>
        </w:rPr>
        <w:t>©</w:t>
      </w:r>
      <w:r w:rsidRPr="00504223">
        <w:rPr>
          <w:rFonts w:ascii="Cambria" w:hAnsi="Cambria"/>
          <w:color w:val="000000"/>
          <w:sz w:val="20"/>
          <w:szCs w:val="20"/>
        </w:rPr>
        <w:t>FINEST-STAI HUBBULWATHAN DURI 202</w:t>
      </w:r>
      <w:r w:rsidRPr="00504223">
        <w:rPr>
          <w:rFonts w:ascii="Cambria" w:hAnsi="Cambria"/>
          <w:color w:val="000000"/>
          <w:sz w:val="20"/>
          <w:szCs w:val="20"/>
          <w:lang w:val="en-US"/>
        </w:rPr>
        <w:t>6</w:t>
      </w:r>
    </w:p>
    <w:p w:rsidR="00DA6497" w:rsidRPr="00504223" w:rsidRDefault="00DA6497" w:rsidP="00DA6497">
      <w:pPr>
        <w:jc w:val="both"/>
        <w:rPr>
          <w:rFonts w:ascii="Cambria" w:hAnsi="Cambria"/>
          <w:b/>
          <w:color w:val="000000"/>
        </w:rPr>
      </w:pPr>
    </w:p>
    <w:p w:rsidR="00DA6497" w:rsidRPr="00504223" w:rsidRDefault="00DA6497" w:rsidP="00DA6497">
      <w:pPr>
        <w:jc w:val="both"/>
        <w:rPr>
          <w:rFonts w:ascii="Cambria" w:hAnsi="Cambria"/>
          <w:b/>
          <w:color w:val="000000"/>
        </w:rPr>
      </w:pPr>
    </w:p>
    <w:p w:rsidR="00DA6497" w:rsidRPr="00504223" w:rsidRDefault="00DA6497" w:rsidP="00DA6497">
      <w:pPr>
        <w:jc w:val="both"/>
        <w:rPr>
          <w:rFonts w:ascii="Cambria" w:hAnsi="Cambria"/>
          <w:b/>
          <w:color w:val="000000"/>
        </w:rPr>
      </w:pPr>
      <w:r w:rsidRPr="00504223">
        <w:rPr>
          <w:rFonts w:ascii="Cambria" w:hAnsi="Cambria"/>
          <w:b/>
          <w:color w:val="000000"/>
        </w:rPr>
        <w:t>PENDAHULUAN</w:t>
      </w:r>
    </w:p>
    <w:p w:rsidR="006A0E97" w:rsidRDefault="00923102" w:rsidP="006A0E97">
      <w:pPr>
        <w:ind w:firstLine="720"/>
        <w:jc w:val="both"/>
        <w:rPr>
          <w:rFonts w:ascii="Cambria" w:hAnsi="Cambria"/>
        </w:rPr>
      </w:pPr>
      <w:r w:rsidRPr="00504223">
        <w:rPr>
          <w:rFonts w:ascii="Cambria" w:hAnsi="Cambria"/>
        </w:rPr>
        <w:t xml:space="preserve">Perkembangan pasar modal di Indonesia menunjukkan peran yang semakin penting dalam mendorong pertumbuhan ekonomi dan menjadi sarana utama bagi perusahaan dalam memperoleh sumber pendanaan jangka panjang. Di sisi lain, investor memanfaatkan pasar modal sebagai media investasi dengan mempertimbangkan berbagai indikator yang dapat mencerminkan prospek dan kinerja perusahaan. Salah satu indikator yang paling sering digunakan dalam pengambilan keputusan investasi adalah </w:t>
      </w:r>
      <w:r w:rsidRPr="00504223">
        <w:rPr>
          <w:rStyle w:val="Kuat"/>
          <w:rFonts w:ascii="Cambria" w:eastAsiaTheme="majorEastAsia" w:hAnsi="Cambria"/>
          <w:b w:val="0"/>
          <w:bCs w:val="0"/>
        </w:rPr>
        <w:t>nilai perusahaan</w:t>
      </w:r>
      <w:r w:rsidRPr="00504223">
        <w:rPr>
          <w:rFonts w:ascii="Cambria" w:hAnsi="Cambria"/>
        </w:rPr>
        <w:t>, karena nilai perusahaan mencerminkan persepsi pasar terhadap kemampuan perusahaan dalam menciptakan keuntungan dan mempertahankan keberlanjutan bisnis pada masa mendatang (Brigham &amp; Houston, 2021).</w:t>
      </w:r>
    </w:p>
    <w:p w:rsidR="00E178C1" w:rsidRPr="00504223" w:rsidRDefault="00923102" w:rsidP="006A0E97">
      <w:pPr>
        <w:ind w:firstLine="720"/>
        <w:jc w:val="both"/>
        <w:rPr>
          <w:rFonts w:ascii="Cambria" w:hAnsi="Cambria"/>
        </w:rPr>
      </w:pPr>
      <w:r w:rsidRPr="00504223">
        <w:rPr>
          <w:rFonts w:ascii="Cambria" w:hAnsi="Cambria"/>
        </w:rPr>
        <w:t xml:space="preserve">Nilai perusahaan merupakan representasi dari tingkat keberhasilan perusahaan dalam mengelola sumber daya yang dimiliki sehingga menghasilkan apresiasi pasar melalui peningkatan harga saham. Semakin tinggi nilai perusahaan, semakin besar tingkat kepercayaan investor terhadap prospek perusahaan di masa depan (Ross et al., 2020). Dalam konteks perusahaan terbuka, nilai perusahaan sering diproksikan menggunakan </w:t>
      </w:r>
      <w:r w:rsidRPr="00504223">
        <w:rPr>
          <w:rStyle w:val="Kuat"/>
          <w:rFonts w:ascii="Cambria" w:hAnsi="Cambria"/>
          <w:b w:val="0"/>
          <w:bCs w:val="0"/>
        </w:rPr>
        <w:t>Price to Book Value (PBV)</w:t>
      </w:r>
      <w:r w:rsidRPr="00504223">
        <w:rPr>
          <w:rFonts w:ascii="Cambria" w:hAnsi="Cambria"/>
        </w:rPr>
        <w:t xml:space="preserve"> karena mampu menunjukkan perbandingan antara nilai pasar dan nilai buku perusahaan secara lebih komprehensif (Harmono, 2021).</w:t>
      </w:r>
      <w:r w:rsidR="004562B2" w:rsidRPr="00504223">
        <w:rPr>
          <w:rFonts w:ascii="Cambria" w:hAnsi="Cambria"/>
          <w:lang w:val="en-US"/>
        </w:rPr>
        <w:t xml:space="preserve"> </w:t>
      </w:r>
    </w:p>
    <w:p w:rsidR="004562B2" w:rsidRPr="00504223" w:rsidRDefault="00923102" w:rsidP="00504223">
      <w:pPr>
        <w:ind w:firstLine="720"/>
        <w:jc w:val="both"/>
        <w:rPr>
          <w:rFonts w:ascii="Cambria" w:hAnsi="Cambria"/>
        </w:rPr>
      </w:pPr>
      <w:r w:rsidRPr="00504223">
        <w:rPr>
          <w:rFonts w:ascii="Cambria" w:hAnsi="Cambria"/>
        </w:rPr>
        <w:t xml:space="preserve">Salah satu sektor yang mengalami dinamika pertumbuhan dan kompetisi yang tinggi di Indonesia adalah </w:t>
      </w:r>
      <w:r w:rsidRPr="00504223">
        <w:rPr>
          <w:rStyle w:val="Kuat"/>
          <w:rFonts w:ascii="Cambria" w:eastAsiaTheme="majorEastAsia" w:hAnsi="Cambria"/>
          <w:b w:val="0"/>
          <w:bCs w:val="0"/>
        </w:rPr>
        <w:t>sektor telekomunikasi</w:t>
      </w:r>
      <w:r w:rsidRPr="00504223">
        <w:rPr>
          <w:rFonts w:ascii="Cambria" w:hAnsi="Cambria"/>
        </w:rPr>
        <w:t>. Perkembangan digitalisasi, peningkatan penggunaan internet, pertumbuhan pelanggan layanan komunikasi, serta transformasi teknologi berbasis jaringan telah mendorong perusahaan sektor telekomunikasi untuk meningkatkan kapasitas operasional dan efisiensi keuangan. Namun demikian, pertumbuhan tersebut juga diikuti dengan kebutuhan pendanaan yang besar sehingga perusahaan dihadapkan pada keputusan strategis terkait struktur modal dan kemampuan menghasilkan laba guna menjaga nilai perusahaan (Kasmir, 2021).</w:t>
      </w:r>
      <w:r w:rsidR="004562B2" w:rsidRPr="00504223">
        <w:rPr>
          <w:rFonts w:ascii="Cambria" w:hAnsi="Cambria"/>
          <w:lang w:val="en-US"/>
        </w:rPr>
        <w:t xml:space="preserve"> </w:t>
      </w:r>
      <w:r w:rsidR="004562B2" w:rsidRPr="00504223">
        <w:rPr>
          <w:rFonts w:ascii="Cambria" w:hAnsi="Cambria"/>
        </w:rPr>
        <w:t>Faktor tersebut menyebabkan munculnya perusahaan-perusahaan baru di Sektor Telecommunication yang otomatis meningkatkan persaingan antar perusahaan.</w:t>
      </w:r>
    </w:p>
    <w:p w:rsidR="004562B2" w:rsidRPr="00504223" w:rsidRDefault="004562B2" w:rsidP="00504223">
      <w:pPr>
        <w:jc w:val="center"/>
        <w:rPr>
          <w:rFonts w:ascii="Cambria" w:hAnsi="Cambria"/>
          <w:lang w:val="en-US"/>
        </w:rPr>
      </w:pPr>
      <w:r w:rsidRPr="00504223">
        <w:rPr>
          <w:rFonts w:ascii="Cambria" w:hAnsi="Cambria"/>
          <w:b/>
        </w:rPr>
        <w:t xml:space="preserve">Tabel </w:t>
      </w:r>
      <w:r w:rsidR="00E178C1" w:rsidRPr="00504223">
        <w:rPr>
          <w:rFonts w:ascii="Cambria" w:hAnsi="Cambria"/>
          <w:b/>
          <w:lang w:val="en-US"/>
        </w:rPr>
        <w:t xml:space="preserve">1. </w:t>
      </w:r>
      <w:r w:rsidRPr="00504223">
        <w:rPr>
          <w:rFonts w:ascii="Cambria" w:hAnsi="Cambria"/>
          <w:b/>
        </w:rPr>
        <w:t>Nilai</w:t>
      </w:r>
      <w:r w:rsidRPr="00504223">
        <w:rPr>
          <w:rFonts w:ascii="Cambria" w:hAnsi="Cambria"/>
          <w:b/>
          <w:spacing w:val="-3"/>
        </w:rPr>
        <w:t xml:space="preserve"> </w:t>
      </w:r>
      <w:r w:rsidRPr="00504223">
        <w:rPr>
          <w:rFonts w:ascii="Cambria" w:hAnsi="Cambria"/>
          <w:b/>
        </w:rPr>
        <w:t>Perusahaan</w:t>
      </w:r>
      <w:r w:rsidRPr="00504223">
        <w:rPr>
          <w:rFonts w:ascii="Cambria" w:hAnsi="Cambria"/>
          <w:b/>
          <w:spacing w:val="-2"/>
        </w:rPr>
        <w:t xml:space="preserve"> </w:t>
      </w:r>
      <w:r w:rsidRPr="00504223">
        <w:rPr>
          <w:rFonts w:ascii="Cambria" w:hAnsi="Cambria"/>
          <w:b/>
        </w:rPr>
        <w:t>Pada</w:t>
      </w:r>
      <w:r w:rsidRPr="00504223">
        <w:rPr>
          <w:rFonts w:ascii="Cambria" w:hAnsi="Cambria"/>
          <w:b/>
          <w:spacing w:val="-1"/>
        </w:rPr>
        <w:t xml:space="preserve"> </w:t>
      </w:r>
      <w:r w:rsidRPr="00504223">
        <w:rPr>
          <w:rFonts w:ascii="Cambria" w:hAnsi="Cambria"/>
          <w:b/>
        </w:rPr>
        <w:t>Manufaktur</w:t>
      </w:r>
      <w:r w:rsidRPr="00504223">
        <w:rPr>
          <w:rFonts w:ascii="Cambria" w:hAnsi="Cambria"/>
          <w:b/>
          <w:spacing w:val="-3"/>
        </w:rPr>
        <w:t xml:space="preserve"> </w:t>
      </w:r>
      <w:r w:rsidRPr="00504223">
        <w:rPr>
          <w:rFonts w:ascii="Cambria" w:hAnsi="Cambria"/>
          <w:b/>
          <w:spacing w:val="-2"/>
        </w:rPr>
        <w:t>Sektor</w:t>
      </w:r>
      <w:r w:rsidRPr="00504223">
        <w:rPr>
          <w:rFonts w:ascii="Cambria" w:hAnsi="Cambria"/>
          <w:lang w:val="en-US"/>
        </w:rPr>
        <w:t xml:space="preserve"> </w:t>
      </w:r>
      <w:r w:rsidRPr="00504223">
        <w:rPr>
          <w:rFonts w:ascii="Cambria" w:hAnsi="Cambria"/>
          <w:b/>
          <w:i/>
        </w:rPr>
        <w:t xml:space="preserve">Telecommunication </w:t>
      </w:r>
      <w:r w:rsidRPr="00504223">
        <w:rPr>
          <w:rFonts w:ascii="Cambria" w:hAnsi="Cambria"/>
          <w:b/>
        </w:rPr>
        <w:t>Yang</w:t>
      </w:r>
      <w:r w:rsidRPr="00504223">
        <w:rPr>
          <w:rFonts w:ascii="Cambria" w:hAnsi="Cambria"/>
          <w:b/>
          <w:spacing w:val="-3"/>
        </w:rPr>
        <w:t xml:space="preserve"> </w:t>
      </w:r>
      <w:r w:rsidRPr="00504223">
        <w:rPr>
          <w:rFonts w:ascii="Cambria" w:hAnsi="Cambria"/>
          <w:b/>
        </w:rPr>
        <w:t>Terdaftar</w:t>
      </w:r>
      <w:r w:rsidRPr="00504223">
        <w:rPr>
          <w:rFonts w:ascii="Cambria" w:hAnsi="Cambria"/>
          <w:b/>
          <w:spacing w:val="-5"/>
        </w:rPr>
        <w:t xml:space="preserve"> </w:t>
      </w:r>
      <w:r w:rsidRPr="00504223">
        <w:rPr>
          <w:rFonts w:ascii="Cambria" w:hAnsi="Cambria"/>
          <w:b/>
        </w:rPr>
        <w:t>Di</w:t>
      </w:r>
      <w:r w:rsidRPr="00504223">
        <w:rPr>
          <w:rFonts w:ascii="Cambria" w:hAnsi="Cambria"/>
          <w:b/>
          <w:spacing w:val="-6"/>
        </w:rPr>
        <w:t xml:space="preserve"> </w:t>
      </w:r>
      <w:r w:rsidRPr="00504223">
        <w:rPr>
          <w:rFonts w:ascii="Cambria" w:hAnsi="Cambria"/>
          <w:b/>
        </w:rPr>
        <w:t>Bursa</w:t>
      </w:r>
      <w:r w:rsidRPr="00504223">
        <w:rPr>
          <w:rFonts w:ascii="Cambria" w:hAnsi="Cambria"/>
          <w:b/>
          <w:spacing w:val="-3"/>
        </w:rPr>
        <w:t xml:space="preserve"> </w:t>
      </w:r>
      <w:r w:rsidRPr="00504223">
        <w:rPr>
          <w:rFonts w:ascii="Cambria" w:hAnsi="Cambria"/>
          <w:b/>
        </w:rPr>
        <w:t>Efek Indonesia Tahun 2022-2024</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608"/>
        <w:gridCol w:w="2344"/>
        <w:gridCol w:w="1707"/>
        <w:gridCol w:w="1707"/>
        <w:gridCol w:w="1705"/>
      </w:tblGrid>
      <w:tr w:rsidR="004562B2" w:rsidRPr="00504223" w:rsidTr="00504223">
        <w:trPr>
          <w:trHeight w:val="275"/>
          <w:tblHeader/>
        </w:trPr>
        <w:tc>
          <w:tcPr>
            <w:tcW w:w="886" w:type="pct"/>
            <w:vMerge w:val="restart"/>
            <w:tcBorders>
              <w:top w:val="single" w:sz="4" w:space="0" w:color="auto"/>
              <w:bottom w:val="nil"/>
            </w:tcBorders>
            <w:vAlign w:val="center"/>
          </w:tcPr>
          <w:p w:rsidR="004562B2" w:rsidRPr="00504223" w:rsidRDefault="004562B2" w:rsidP="006A0E97">
            <w:pPr>
              <w:pStyle w:val="TableParagraph"/>
              <w:spacing w:line="240" w:lineRule="auto"/>
              <w:ind w:left="4" w:right="3"/>
              <w:rPr>
                <w:rFonts w:ascii="Cambria" w:hAnsi="Cambria" w:cstheme="minorHAnsi"/>
                <w:b/>
                <w:lang w:val="en-US"/>
              </w:rPr>
            </w:pPr>
            <w:r w:rsidRPr="00504223">
              <w:rPr>
                <w:rFonts w:ascii="Cambria" w:hAnsi="Cambria" w:cstheme="minorHAnsi"/>
                <w:b/>
                <w:spacing w:val="-5"/>
              </w:rPr>
              <w:t>N</w:t>
            </w:r>
            <w:r w:rsidRPr="00504223">
              <w:rPr>
                <w:rFonts w:ascii="Cambria" w:hAnsi="Cambria" w:cstheme="minorHAnsi"/>
                <w:b/>
                <w:spacing w:val="-5"/>
                <w:lang w:val="en-US"/>
              </w:rPr>
              <w:t>o</w:t>
            </w:r>
          </w:p>
        </w:tc>
        <w:tc>
          <w:tcPr>
            <w:tcW w:w="1292" w:type="pct"/>
            <w:vMerge w:val="restart"/>
            <w:tcBorders>
              <w:top w:val="single" w:sz="4" w:space="0" w:color="auto"/>
              <w:bottom w:val="nil"/>
            </w:tcBorders>
            <w:vAlign w:val="center"/>
          </w:tcPr>
          <w:p w:rsidR="004562B2" w:rsidRPr="00504223" w:rsidRDefault="004562B2" w:rsidP="006A0E97">
            <w:pPr>
              <w:pStyle w:val="TableParagraph"/>
              <w:spacing w:line="240" w:lineRule="auto"/>
              <w:rPr>
                <w:rFonts w:ascii="Cambria" w:hAnsi="Cambria" w:cstheme="minorHAnsi"/>
                <w:b/>
              </w:rPr>
            </w:pPr>
            <w:r w:rsidRPr="00504223">
              <w:rPr>
                <w:rFonts w:ascii="Cambria" w:hAnsi="Cambria" w:cstheme="minorHAnsi"/>
                <w:b/>
                <w:spacing w:val="-4"/>
              </w:rPr>
              <w:t>Kode Perusahaan</w:t>
            </w:r>
          </w:p>
        </w:tc>
        <w:tc>
          <w:tcPr>
            <w:tcW w:w="2822" w:type="pct"/>
            <w:gridSpan w:val="3"/>
            <w:tcBorders>
              <w:top w:val="single" w:sz="4" w:space="0" w:color="auto"/>
              <w:bottom w:val="single" w:sz="4" w:space="0" w:color="auto"/>
            </w:tcBorders>
          </w:tcPr>
          <w:p w:rsidR="004562B2" w:rsidRPr="00504223" w:rsidRDefault="004562B2" w:rsidP="006A0E97">
            <w:pPr>
              <w:pStyle w:val="TableParagraph"/>
              <w:spacing w:line="240" w:lineRule="auto"/>
              <w:ind w:left="11"/>
              <w:rPr>
                <w:rFonts w:ascii="Cambria" w:hAnsi="Cambria" w:cstheme="minorHAnsi"/>
                <w:b/>
              </w:rPr>
            </w:pPr>
            <w:r w:rsidRPr="00504223">
              <w:rPr>
                <w:rFonts w:ascii="Cambria" w:hAnsi="Cambria" w:cstheme="minorHAnsi"/>
                <w:b/>
                <w:spacing w:val="-4"/>
              </w:rPr>
              <w:t>Tahun</w:t>
            </w:r>
          </w:p>
        </w:tc>
      </w:tr>
      <w:tr w:rsidR="004562B2" w:rsidRPr="00504223" w:rsidTr="0043610A">
        <w:trPr>
          <w:trHeight w:val="275"/>
        </w:trPr>
        <w:tc>
          <w:tcPr>
            <w:tcW w:w="886" w:type="pct"/>
            <w:vMerge/>
            <w:tcBorders>
              <w:top w:val="nil"/>
              <w:bottom w:val="single" w:sz="4" w:space="0" w:color="auto"/>
            </w:tcBorders>
          </w:tcPr>
          <w:p w:rsidR="004562B2" w:rsidRPr="00504223" w:rsidRDefault="004562B2" w:rsidP="006A0E97">
            <w:pPr>
              <w:rPr>
                <w:rFonts w:ascii="Cambria" w:hAnsi="Cambria" w:cstheme="minorHAnsi"/>
                <w:b/>
                <w:sz w:val="22"/>
                <w:szCs w:val="22"/>
              </w:rPr>
            </w:pPr>
          </w:p>
        </w:tc>
        <w:tc>
          <w:tcPr>
            <w:tcW w:w="1292" w:type="pct"/>
            <w:vMerge/>
            <w:tcBorders>
              <w:top w:val="nil"/>
              <w:bottom w:val="single" w:sz="4" w:space="0" w:color="auto"/>
            </w:tcBorders>
          </w:tcPr>
          <w:p w:rsidR="004562B2" w:rsidRPr="00504223" w:rsidRDefault="004562B2" w:rsidP="006A0E97">
            <w:pPr>
              <w:rPr>
                <w:rFonts w:ascii="Cambria" w:hAnsi="Cambria" w:cstheme="minorHAnsi"/>
                <w:b/>
                <w:sz w:val="22"/>
                <w:szCs w:val="22"/>
              </w:rPr>
            </w:pPr>
          </w:p>
        </w:tc>
        <w:tc>
          <w:tcPr>
            <w:tcW w:w="941" w:type="pct"/>
            <w:tcBorders>
              <w:top w:val="single" w:sz="4" w:space="0" w:color="auto"/>
              <w:bottom w:val="single" w:sz="4" w:space="0" w:color="auto"/>
            </w:tcBorders>
          </w:tcPr>
          <w:p w:rsidR="004562B2" w:rsidRPr="00504223" w:rsidRDefault="004562B2" w:rsidP="006A0E97">
            <w:pPr>
              <w:pStyle w:val="TableParagraph"/>
              <w:spacing w:line="240" w:lineRule="auto"/>
              <w:ind w:left="48" w:right="40"/>
              <w:rPr>
                <w:rFonts w:ascii="Cambria" w:hAnsi="Cambria" w:cstheme="minorHAnsi"/>
                <w:b/>
              </w:rPr>
            </w:pPr>
            <w:r w:rsidRPr="00504223">
              <w:rPr>
                <w:rFonts w:ascii="Cambria" w:hAnsi="Cambria" w:cstheme="minorHAnsi"/>
                <w:b/>
                <w:spacing w:val="-4"/>
              </w:rPr>
              <w:t>2022</w:t>
            </w:r>
          </w:p>
        </w:tc>
        <w:tc>
          <w:tcPr>
            <w:tcW w:w="941" w:type="pct"/>
            <w:tcBorders>
              <w:top w:val="single" w:sz="4" w:space="0" w:color="auto"/>
              <w:bottom w:val="single" w:sz="4" w:space="0" w:color="auto"/>
            </w:tcBorders>
          </w:tcPr>
          <w:p w:rsidR="004562B2" w:rsidRPr="00504223" w:rsidRDefault="004562B2" w:rsidP="006A0E97">
            <w:pPr>
              <w:pStyle w:val="TableParagraph"/>
              <w:spacing w:line="240" w:lineRule="auto"/>
              <w:ind w:left="48" w:right="40"/>
              <w:rPr>
                <w:rFonts w:ascii="Cambria" w:hAnsi="Cambria" w:cstheme="minorHAnsi"/>
                <w:b/>
              </w:rPr>
            </w:pPr>
            <w:r w:rsidRPr="00504223">
              <w:rPr>
                <w:rFonts w:ascii="Cambria" w:hAnsi="Cambria" w:cstheme="minorHAnsi"/>
                <w:b/>
                <w:spacing w:val="-4"/>
              </w:rPr>
              <w:t>2023</w:t>
            </w:r>
          </w:p>
        </w:tc>
        <w:tc>
          <w:tcPr>
            <w:tcW w:w="940" w:type="pct"/>
            <w:tcBorders>
              <w:top w:val="single" w:sz="4" w:space="0" w:color="auto"/>
              <w:bottom w:val="single" w:sz="4" w:space="0" w:color="auto"/>
            </w:tcBorders>
          </w:tcPr>
          <w:p w:rsidR="004562B2" w:rsidRPr="00504223" w:rsidRDefault="004562B2" w:rsidP="006A0E97">
            <w:pPr>
              <w:pStyle w:val="TableParagraph"/>
              <w:spacing w:line="240" w:lineRule="auto"/>
              <w:ind w:left="31" w:right="21"/>
              <w:rPr>
                <w:rFonts w:ascii="Cambria" w:hAnsi="Cambria" w:cstheme="minorHAnsi"/>
                <w:b/>
              </w:rPr>
            </w:pPr>
            <w:r w:rsidRPr="00504223">
              <w:rPr>
                <w:rFonts w:ascii="Cambria" w:hAnsi="Cambria" w:cstheme="minorHAnsi"/>
                <w:b/>
                <w:spacing w:val="-4"/>
              </w:rPr>
              <w:t>2024</w:t>
            </w:r>
          </w:p>
        </w:tc>
      </w:tr>
      <w:tr w:rsidR="004562B2" w:rsidRPr="00504223" w:rsidTr="0043610A">
        <w:trPr>
          <w:trHeight w:val="275"/>
        </w:trPr>
        <w:tc>
          <w:tcPr>
            <w:tcW w:w="886" w:type="pct"/>
            <w:tcBorders>
              <w:top w:val="single" w:sz="4" w:space="0" w:color="auto"/>
            </w:tcBorders>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1</w:t>
            </w:r>
          </w:p>
        </w:tc>
        <w:tc>
          <w:tcPr>
            <w:tcW w:w="1292" w:type="pct"/>
            <w:tcBorders>
              <w:top w:val="single" w:sz="4" w:space="0" w:color="auto"/>
            </w:tcBorders>
          </w:tcPr>
          <w:p w:rsidR="004562B2" w:rsidRPr="00504223" w:rsidRDefault="004562B2" w:rsidP="006A0E97">
            <w:pPr>
              <w:pStyle w:val="TableParagraph"/>
              <w:spacing w:line="240" w:lineRule="auto"/>
              <w:ind w:left="17" w:right="6"/>
              <w:rPr>
                <w:rFonts w:ascii="Cambria" w:hAnsi="Cambria" w:cstheme="minorHAnsi"/>
              </w:rPr>
            </w:pPr>
            <w:r w:rsidRPr="00504223">
              <w:rPr>
                <w:rFonts w:ascii="Cambria" w:hAnsi="Cambria" w:cstheme="minorHAnsi"/>
              </w:rPr>
              <w:t>BALI</w:t>
            </w:r>
          </w:p>
        </w:tc>
        <w:tc>
          <w:tcPr>
            <w:tcW w:w="941" w:type="pct"/>
            <w:tcBorders>
              <w:top w:val="single" w:sz="4" w:space="0" w:color="auto"/>
            </w:tcBorders>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1.39</w:t>
            </w:r>
          </w:p>
        </w:tc>
        <w:tc>
          <w:tcPr>
            <w:tcW w:w="941" w:type="pct"/>
            <w:tcBorders>
              <w:top w:val="single" w:sz="4" w:space="0" w:color="auto"/>
            </w:tcBorders>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1.30</w:t>
            </w:r>
          </w:p>
        </w:tc>
        <w:tc>
          <w:tcPr>
            <w:tcW w:w="940" w:type="pct"/>
            <w:tcBorders>
              <w:top w:val="single" w:sz="4" w:space="0" w:color="auto"/>
            </w:tcBorders>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1.29</w:t>
            </w:r>
          </w:p>
        </w:tc>
      </w:tr>
      <w:tr w:rsidR="004562B2" w:rsidRPr="00504223" w:rsidTr="0043610A">
        <w:trPr>
          <w:trHeight w:val="278"/>
        </w:trPr>
        <w:tc>
          <w:tcPr>
            <w:tcW w:w="886" w:type="pct"/>
          </w:tcPr>
          <w:p w:rsidR="004562B2" w:rsidRPr="00504223" w:rsidRDefault="004562B2" w:rsidP="006A0E97">
            <w:pPr>
              <w:pStyle w:val="TableParagraph"/>
              <w:spacing w:line="240" w:lineRule="auto"/>
              <w:rPr>
                <w:rFonts w:ascii="Cambria" w:hAnsi="Cambria" w:cstheme="minorHAnsi"/>
              </w:rPr>
            </w:pPr>
            <w:r w:rsidRPr="00504223">
              <w:rPr>
                <w:rFonts w:ascii="Cambria" w:hAnsi="Cambria" w:cstheme="minorHAnsi"/>
                <w:spacing w:val="-10"/>
              </w:rPr>
              <w:t>2</w:t>
            </w:r>
          </w:p>
        </w:tc>
        <w:tc>
          <w:tcPr>
            <w:tcW w:w="1292" w:type="pct"/>
          </w:tcPr>
          <w:p w:rsidR="004562B2" w:rsidRPr="00504223" w:rsidRDefault="004562B2" w:rsidP="006A0E97">
            <w:pPr>
              <w:pStyle w:val="TableParagraph"/>
              <w:spacing w:line="240" w:lineRule="auto"/>
              <w:ind w:left="17" w:right="8"/>
              <w:rPr>
                <w:rFonts w:ascii="Cambria" w:hAnsi="Cambria" w:cstheme="minorHAnsi"/>
              </w:rPr>
            </w:pPr>
            <w:r w:rsidRPr="00504223">
              <w:rPr>
                <w:rFonts w:ascii="Cambria" w:hAnsi="Cambria" w:cstheme="minorHAnsi"/>
              </w:rPr>
              <w:t>BTEL</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(0.318)</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-0.31</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-0.27</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3</w:t>
            </w:r>
          </w:p>
        </w:tc>
        <w:tc>
          <w:tcPr>
            <w:tcW w:w="1292" w:type="pct"/>
          </w:tcPr>
          <w:p w:rsidR="004562B2" w:rsidRPr="00504223" w:rsidRDefault="004562B2" w:rsidP="006A0E97">
            <w:pPr>
              <w:pStyle w:val="TableParagraph"/>
              <w:spacing w:line="240" w:lineRule="auto"/>
              <w:ind w:left="17" w:right="8"/>
              <w:rPr>
                <w:rFonts w:ascii="Cambria" w:hAnsi="Cambria" w:cstheme="minorHAnsi"/>
              </w:rPr>
            </w:pPr>
            <w:r w:rsidRPr="00504223">
              <w:rPr>
                <w:rFonts w:ascii="Cambria" w:hAnsi="Cambria" w:cstheme="minorHAnsi"/>
              </w:rPr>
              <w:t>CENT</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5.26</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-0.89</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-0.70</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lastRenderedPageBreak/>
              <w:t>4</w:t>
            </w:r>
          </w:p>
        </w:tc>
        <w:tc>
          <w:tcPr>
            <w:tcW w:w="1292" w:type="pct"/>
          </w:tcPr>
          <w:p w:rsidR="004562B2" w:rsidRPr="00504223" w:rsidRDefault="004562B2" w:rsidP="006A0E97">
            <w:pPr>
              <w:pStyle w:val="TableParagraph"/>
              <w:spacing w:line="240" w:lineRule="auto"/>
              <w:ind w:left="17" w:right="10"/>
              <w:rPr>
                <w:rFonts w:ascii="Cambria" w:hAnsi="Cambria" w:cstheme="minorHAnsi"/>
              </w:rPr>
            </w:pPr>
            <w:r w:rsidRPr="00504223">
              <w:rPr>
                <w:rFonts w:ascii="Cambria" w:hAnsi="Cambria" w:cstheme="minorHAnsi"/>
              </w:rPr>
              <w:t>EXCL</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1.29</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1.00</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1.34</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5</w:t>
            </w:r>
          </w:p>
        </w:tc>
        <w:tc>
          <w:tcPr>
            <w:tcW w:w="1292" w:type="pct"/>
          </w:tcPr>
          <w:p w:rsidR="004562B2" w:rsidRPr="00504223" w:rsidRDefault="004562B2" w:rsidP="006A0E97">
            <w:pPr>
              <w:pStyle w:val="TableParagraph"/>
              <w:spacing w:line="240" w:lineRule="auto"/>
              <w:ind w:left="17" w:right="6"/>
              <w:rPr>
                <w:rFonts w:ascii="Cambria" w:hAnsi="Cambria" w:cstheme="minorHAnsi"/>
              </w:rPr>
            </w:pPr>
            <w:r w:rsidRPr="00504223">
              <w:rPr>
                <w:rFonts w:ascii="Cambria" w:hAnsi="Cambria" w:cstheme="minorHAnsi"/>
              </w:rPr>
              <w:t>FREN</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1.55</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1.10</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1.08</w:t>
            </w:r>
          </w:p>
        </w:tc>
      </w:tr>
      <w:tr w:rsidR="004562B2" w:rsidRPr="00504223" w:rsidTr="0043610A">
        <w:trPr>
          <w:trHeight w:val="278"/>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6</w:t>
            </w:r>
          </w:p>
        </w:tc>
        <w:tc>
          <w:tcPr>
            <w:tcW w:w="1292" w:type="pct"/>
          </w:tcPr>
          <w:p w:rsidR="004562B2" w:rsidRPr="00504223" w:rsidRDefault="004562B2" w:rsidP="006A0E97">
            <w:pPr>
              <w:pStyle w:val="TableParagraph"/>
              <w:spacing w:line="240" w:lineRule="auto"/>
              <w:ind w:left="17" w:right="8"/>
              <w:rPr>
                <w:rFonts w:ascii="Cambria" w:hAnsi="Cambria" w:cstheme="minorHAnsi"/>
              </w:rPr>
            </w:pPr>
            <w:r w:rsidRPr="00504223">
              <w:rPr>
                <w:rFonts w:ascii="Cambria" w:hAnsi="Cambria" w:cstheme="minorHAnsi"/>
              </w:rPr>
              <w:t>GHON</w:t>
            </w:r>
          </w:p>
        </w:tc>
        <w:tc>
          <w:tcPr>
            <w:tcW w:w="941" w:type="pct"/>
          </w:tcPr>
          <w:p w:rsidR="004562B2" w:rsidRPr="00504223" w:rsidRDefault="004562B2" w:rsidP="006A0E97">
            <w:pPr>
              <w:pStyle w:val="TableParagraph"/>
              <w:spacing w:line="240" w:lineRule="auto"/>
              <w:ind w:left="48" w:right="19"/>
              <w:rPr>
                <w:rFonts w:ascii="Cambria" w:hAnsi="Cambria" w:cstheme="minorHAnsi"/>
              </w:rPr>
            </w:pPr>
            <w:r w:rsidRPr="00504223">
              <w:rPr>
                <w:rFonts w:ascii="Cambria" w:hAnsi="Cambria" w:cstheme="minorHAnsi"/>
              </w:rPr>
              <w:t>1.43</w:t>
            </w:r>
          </w:p>
        </w:tc>
        <w:tc>
          <w:tcPr>
            <w:tcW w:w="941" w:type="pct"/>
          </w:tcPr>
          <w:p w:rsidR="004562B2" w:rsidRPr="00504223" w:rsidRDefault="004562B2" w:rsidP="006A0E97">
            <w:pPr>
              <w:pStyle w:val="TableParagraph"/>
              <w:spacing w:line="240" w:lineRule="auto"/>
              <w:ind w:left="48" w:right="19"/>
              <w:rPr>
                <w:rFonts w:ascii="Cambria" w:hAnsi="Cambria" w:cstheme="minorHAnsi"/>
              </w:rPr>
            </w:pPr>
            <w:r w:rsidRPr="00504223">
              <w:rPr>
                <w:rFonts w:ascii="Cambria" w:hAnsi="Cambria" w:cstheme="minorHAnsi"/>
              </w:rPr>
              <w:t>1.30</w:t>
            </w:r>
          </w:p>
        </w:tc>
        <w:tc>
          <w:tcPr>
            <w:tcW w:w="940" w:type="pct"/>
          </w:tcPr>
          <w:p w:rsidR="004562B2" w:rsidRPr="00504223" w:rsidRDefault="004562B2" w:rsidP="006A0E97">
            <w:pPr>
              <w:pStyle w:val="TableParagraph"/>
              <w:spacing w:line="240" w:lineRule="auto"/>
              <w:ind w:left="31"/>
              <w:rPr>
                <w:rFonts w:ascii="Cambria" w:hAnsi="Cambria" w:cstheme="minorHAnsi"/>
              </w:rPr>
            </w:pPr>
            <w:r w:rsidRPr="00504223">
              <w:rPr>
                <w:rFonts w:ascii="Cambria" w:hAnsi="Cambria" w:cstheme="minorHAnsi"/>
              </w:rPr>
              <w:t>1.25</w:t>
            </w:r>
          </w:p>
        </w:tc>
      </w:tr>
      <w:tr w:rsidR="004562B2" w:rsidRPr="00504223" w:rsidTr="0043610A">
        <w:trPr>
          <w:trHeight w:val="278"/>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7</w:t>
            </w:r>
          </w:p>
        </w:tc>
        <w:tc>
          <w:tcPr>
            <w:tcW w:w="1292" w:type="pct"/>
          </w:tcPr>
          <w:p w:rsidR="004562B2" w:rsidRPr="00504223" w:rsidRDefault="004562B2" w:rsidP="006A0E97">
            <w:pPr>
              <w:pStyle w:val="TableParagraph"/>
              <w:spacing w:line="240" w:lineRule="auto"/>
              <w:ind w:left="17" w:right="7"/>
              <w:rPr>
                <w:rFonts w:ascii="Cambria" w:hAnsi="Cambria" w:cstheme="minorHAnsi"/>
              </w:rPr>
            </w:pPr>
            <w:r w:rsidRPr="00504223">
              <w:rPr>
                <w:rFonts w:ascii="Cambria" w:hAnsi="Cambria" w:cstheme="minorHAnsi"/>
              </w:rPr>
              <w:t>GOLD</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1.16</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0.96</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0.88</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8</w:t>
            </w:r>
          </w:p>
        </w:tc>
        <w:tc>
          <w:tcPr>
            <w:tcW w:w="1292" w:type="pct"/>
          </w:tcPr>
          <w:p w:rsidR="004562B2" w:rsidRPr="00504223" w:rsidRDefault="004562B2" w:rsidP="006A0E97">
            <w:pPr>
              <w:pStyle w:val="TableParagraph"/>
              <w:spacing w:line="240" w:lineRule="auto"/>
              <w:ind w:left="17"/>
              <w:rPr>
                <w:rFonts w:ascii="Cambria" w:hAnsi="Cambria" w:cstheme="minorHAnsi"/>
              </w:rPr>
            </w:pPr>
            <w:r w:rsidRPr="00504223">
              <w:rPr>
                <w:rFonts w:ascii="Cambria" w:hAnsi="Cambria" w:cstheme="minorHAnsi"/>
              </w:rPr>
              <w:t>IBST</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1.34</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1.28</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1.21</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10"/>
              </w:rPr>
              <w:t>9</w:t>
            </w:r>
          </w:p>
        </w:tc>
        <w:tc>
          <w:tcPr>
            <w:tcW w:w="1292" w:type="pct"/>
          </w:tcPr>
          <w:p w:rsidR="004562B2" w:rsidRPr="00504223" w:rsidRDefault="004562B2" w:rsidP="006A0E97">
            <w:pPr>
              <w:pStyle w:val="TableParagraph"/>
              <w:spacing w:line="240" w:lineRule="auto"/>
              <w:ind w:left="17"/>
              <w:rPr>
                <w:rFonts w:ascii="Cambria" w:hAnsi="Cambria" w:cstheme="minorHAnsi"/>
              </w:rPr>
            </w:pPr>
            <w:r w:rsidRPr="00504223">
              <w:rPr>
                <w:rFonts w:ascii="Cambria" w:hAnsi="Cambria" w:cstheme="minorHAnsi"/>
              </w:rPr>
              <w:t>INET</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2.89</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3.11</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5"/>
              </w:rPr>
              <w:t>10</w:t>
            </w:r>
          </w:p>
        </w:tc>
        <w:tc>
          <w:tcPr>
            <w:tcW w:w="1292" w:type="pct"/>
          </w:tcPr>
          <w:p w:rsidR="004562B2" w:rsidRPr="00504223" w:rsidRDefault="004562B2" w:rsidP="006A0E97">
            <w:pPr>
              <w:pStyle w:val="TableParagraph"/>
              <w:spacing w:line="240" w:lineRule="auto"/>
              <w:ind w:left="17" w:right="3"/>
              <w:rPr>
                <w:rFonts w:ascii="Cambria" w:hAnsi="Cambria" w:cstheme="minorHAnsi"/>
              </w:rPr>
            </w:pPr>
            <w:r w:rsidRPr="00504223">
              <w:rPr>
                <w:rFonts w:ascii="Cambria" w:hAnsi="Cambria" w:cstheme="minorHAnsi"/>
              </w:rPr>
              <w:t>ISAT</w:t>
            </w:r>
          </w:p>
        </w:tc>
        <w:tc>
          <w:tcPr>
            <w:tcW w:w="941" w:type="pct"/>
          </w:tcPr>
          <w:p w:rsidR="004562B2" w:rsidRPr="00504223" w:rsidRDefault="004562B2" w:rsidP="006A0E97">
            <w:pPr>
              <w:pStyle w:val="TableParagraph"/>
              <w:spacing w:line="240" w:lineRule="auto"/>
              <w:ind w:left="48" w:right="37"/>
              <w:rPr>
                <w:rFonts w:ascii="Cambria" w:hAnsi="Cambria" w:cstheme="minorHAnsi"/>
              </w:rPr>
            </w:pPr>
            <w:r w:rsidRPr="00504223">
              <w:rPr>
                <w:rFonts w:ascii="Cambria" w:hAnsi="Cambria" w:cstheme="minorHAnsi"/>
              </w:rPr>
              <w:t>1.73</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2.36</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2.89</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5"/>
              </w:rPr>
              <w:t>11</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JAST</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1.12</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0.61</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0.63</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5"/>
              </w:rPr>
              <w:t>12</w:t>
            </w:r>
          </w:p>
        </w:tc>
        <w:tc>
          <w:tcPr>
            <w:tcW w:w="1292" w:type="pct"/>
          </w:tcPr>
          <w:p w:rsidR="004562B2" w:rsidRPr="00504223" w:rsidRDefault="004562B2" w:rsidP="006A0E97">
            <w:pPr>
              <w:pStyle w:val="TableParagraph"/>
              <w:spacing w:line="240" w:lineRule="auto"/>
              <w:ind w:left="17" w:right="4"/>
              <w:rPr>
                <w:rFonts w:ascii="Cambria" w:hAnsi="Cambria" w:cstheme="minorHAnsi"/>
              </w:rPr>
            </w:pPr>
            <w:r w:rsidRPr="00504223">
              <w:rPr>
                <w:rFonts w:ascii="Cambria" w:hAnsi="Cambria" w:cstheme="minorHAnsi"/>
              </w:rPr>
              <w:t>KBLV</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-0.47</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-0.26</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-0.12</w:t>
            </w:r>
          </w:p>
        </w:tc>
      </w:tr>
      <w:tr w:rsidR="004562B2" w:rsidRPr="00504223" w:rsidTr="0043610A">
        <w:trPr>
          <w:trHeight w:val="143"/>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5"/>
              </w:rPr>
              <w:t>13</w:t>
            </w:r>
          </w:p>
        </w:tc>
        <w:tc>
          <w:tcPr>
            <w:tcW w:w="1292" w:type="pct"/>
          </w:tcPr>
          <w:p w:rsidR="004562B2" w:rsidRPr="00504223" w:rsidRDefault="004562B2" w:rsidP="006A0E97">
            <w:pPr>
              <w:pStyle w:val="TableParagraph"/>
              <w:spacing w:line="240" w:lineRule="auto"/>
              <w:ind w:left="17" w:right="4"/>
              <w:rPr>
                <w:rFonts w:ascii="Cambria" w:hAnsi="Cambria" w:cstheme="minorHAnsi"/>
              </w:rPr>
            </w:pPr>
            <w:r w:rsidRPr="00504223">
              <w:rPr>
                <w:rFonts w:ascii="Cambria" w:hAnsi="Cambria" w:cstheme="minorHAnsi"/>
              </w:rPr>
              <w:t>KETR</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1.12</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0.70</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0.48</w:t>
            </w:r>
          </w:p>
        </w:tc>
      </w:tr>
      <w:tr w:rsidR="004562B2" w:rsidRPr="00504223" w:rsidTr="0043610A">
        <w:trPr>
          <w:trHeight w:val="278"/>
        </w:trPr>
        <w:tc>
          <w:tcPr>
            <w:tcW w:w="886" w:type="pct"/>
          </w:tcPr>
          <w:p w:rsidR="004562B2" w:rsidRPr="00504223" w:rsidRDefault="004562B2" w:rsidP="006A0E97">
            <w:pPr>
              <w:pStyle w:val="TableParagraph"/>
              <w:spacing w:line="240" w:lineRule="auto"/>
              <w:ind w:left="4"/>
              <w:rPr>
                <w:rFonts w:ascii="Cambria" w:hAnsi="Cambria" w:cstheme="minorHAnsi"/>
              </w:rPr>
            </w:pPr>
            <w:r w:rsidRPr="00504223">
              <w:rPr>
                <w:rFonts w:ascii="Cambria" w:hAnsi="Cambria" w:cstheme="minorHAnsi"/>
                <w:spacing w:val="-5"/>
              </w:rPr>
              <w:t>14</w:t>
            </w:r>
          </w:p>
        </w:tc>
        <w:tc>
          <w:tcPr>
            <w:tcW w:w="1292" w:type="pct"/>
          </w:tcPr>
          <w:p w:rsidR="004562B2" w:rsidRPr="00504223" w:rsidRDefault="004562B2" w:rsidP="006A0E97">
            <w:pPr>
              <w:pStyle w:val="TableParagraph"/>
              <w:spacing w:line="240" w:lineRule="auto"/>
              <w:ind w:left="17" w:right="6"/>
              <w:rPr>
                <w:rFonts w:ascii="Cambria" w:hAnsi="Cambria" w:cstheme="minorHAnsi"/>
              </w:rPr>
            </w:pPr>
            <w:r w:rsidRPr="00504223">
              <w:rPr>
                <w:rFonts w:ascii="Cambria" w:hAnsi="Cambria" w:cstheme="minorHAnsi"/>
              </w:rPr>
              <w:t>LCKM</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2.27</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2.11</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2.09</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15</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LINK</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1.36</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0.83</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0.46</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16</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MORA</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2.16</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1.57</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1.34</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17</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MTEL</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2.01</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1.76</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1.12</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18</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OASA</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5.83</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1.32</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1.10</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19</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SUPR</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8.82</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8.49</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8.70</w:t>
            </w:r>
          </w:p>
        </w:tc>
      </w:tr>
      <w:tr w:rsidR="004562B2" w:rsidRPr="00504223" w:rsidTr="0043610A">
        <w:trPr>
          <w:trHeight w:val="275"/>
        </w:trPr>
        <w:tc>
          <w:tcPr>
            <w:tcW w:w="886" w:type="pct"/>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20</w:t>
            </w:r>
          </w:p>
        </w:tc>
        <w:tc>
          <w:tcPr>
            <w:tcW w:w="1292" w:type="pct"/>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TBIG</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3.95</w:t>
            </w:r>
          </w:p>
        </w:tc>
        <w:tc>
          <w:tcPr>
            <w:tcW w:w="941" w:type="pct"/>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4.20</w:t>
            </w:r>
          </w:p>
        </w:tc>
        <w:tc>
          <w:tcPr>
            <w:tcW w:w="940" w:type="pct"/>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4.91</w:t>
            </w:r>
          </w:p>
        </w:tc>
      </w:tr>
      <w:tr w:rsidR="004562B2" w:rsidRPr="00504223" w:rsidTr="0043610A">
        <w:trPr>
          <w:trHeight w:val="275"/>
        </w:trPr>
        <w:tc>
          <w:tcPr>
            <w:tcW w:w="886" w:type="pct"/>
            <w:tcBorders>
              <w:bottom w:val="nil"/>
            </w:tcBorders>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21</w:t>
            </w:r>
          </w:p>
        </w:tc>
        <w:tc>
          <w:tcPr>
            <w:tcW w:w="1292" w:type="pct"/>
            <w:tcBorders>
              <w:bottom w:val="nil"/>
            </w:tcBorders>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TLKM</w:t>
            </w:r>
          </w:p>
        </w:tc>
        <w:tc>
          <w:tcPr>
            <w:tcW w:w="941" w:type="pct"/>
            <w:tcBorders>
              <w:bottom w:val="nil"/>
            </w:tcBorders>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2.55</w:t>
            </w:r>
          </w:p>
        </w:tc>
        <w:tc>
          <w:tcPr>
            <w:tcW w:w="941" w:type="pct"/>
            <w:tcBorders>
              <w:bottom w:val="nil"/>
            </w:tcBorders>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2.62</w:t>
            </w:r>
          </w:p>
        </w:tc>
        <w:tc>
          <w:tcPr>
            <w:tcW w:w="940" w:type="pct"/>
            <w:tcBorders>
              <w:bottom w:val="nil"/>
            </w:tcBorders>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2.78</w:t>
            </w:r>
          </w:p>
        </w:tc>
      </w:tr>
      <w:tr w:rsidR="004562B2" w:rsidRPr="00504223" w:rsidTr="0043610A">
        <w:trPr>
          <w:trHeight w:val="275"/>
        </w:trPr>
        <w:tc>
          <w:tcPr>
            <w:tcW w:w="886" w:type="pct"/>
            <w:tcBorders>
              <w:top w:val="nil"/>
              <w:bottom w:val="single" w:sz="4" w:space="0" w:color="auto"/>
            </w:tcBorders>
          </w:tcPr>
          <w:p w:rsidR="004562B2" w:rsidRPr="00504223" w:rsidRDefault="004562B2" w:rsidP="006A0E97">
            <w:pPr>
              <w:pStyle w:val="TableParagraph"/>
              <w:spacing w:line="240" w:lineRule="auto"/>
              <w:ind w:left="4"/>
              <w:rPr>
                <w:rFonts w:ascii="Cambria" w:hAnsi="Cambria" w:cstheme="minorHAnsi"/>
                <w:spacing w:val="-5"/>
              </w:rPr>
            </w:pPr>
            <w:r w:rsidRPr="00504223">
              <w:rPr>
                <w:rFonts w:ascii="Cambria" w:hAnsi="Cambria" w:cstheme="minorHAnsi"/>
                <w:spacing w:val="-5"/>
              </w:rPr>
              <w:t>22</w:t>
            </w:r>
          </w:p>
        </w:tc>
        <w:tc>
          <w:tcPr>
            <w:tcW w:w="1292" w:type="pct"/>
            <w:tcBorders>
              <w:top w:val="nil"/>
              <w:bottom w:val="single" w:sz="4" w:space="0" w:color="auto"/>
            </w:tcBorders>
          </w:tcPr>
          <w:p w:rsidR="004562B2" w:rsidRPr="00504223" w:rsidRDefault="004562B2" w:rsidP="006A0E97">
            <w:pPr>
              <w:pStyle w:val="TableParagraph"/>
              <w:spacing w:line="240" w:lineRule="auto"/>
              <w:ind w:left="17" w:right="5"/>
              <w:rPr>
                <w:rFonts w:ascii="Cambria" w:hAnsi="Cambria" w:cstheme="minorHAnsi"/>
              </w:rPr>
            </w:pPr>
            <w:r w:rsidRPr="00504223">
              <w:rPr>
                <w:rFonts w:ascii="Cambria" w:hAnsi="Cambria" w:cstheme="minorHAnsi"/>
              </w:rPr>
              <w:t>TOWR</w:t>
            </w:r>
          </w:p>
        </w:tc>
        <w:tc>
          <w:tcPr>
            <w:tcW w:w="941" w:type="pct"/>
            <w:tcBorders>
              <w:top w:val="nil"/>
              <w:bottom w:val="single" w:sz="4" w:space="0" w:color="auto"/>
            </w:tcBorders>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4.03</w:t>
            </w:r>
          </w:p>
        </w:tc>
        <w:tc>
          <w:tcPr>
            <w:tcW w:w="941" w:type="pct"/>
            <w:tcBorders>
              <w:top w:val="nil"/>
              <w:bottom w:val="single" w:sz="4" w:space="0" w:color="auto"/>
            </w:tcBorders>
          </w:tcPr>
          <w:p w:rsidR="004562B2" w:rsidRPr="00504223" w:rsidRDefault="004562B2" w:rsidP="006A0E97">
            <w:pPr>
              <w:pStyle w:val="TableParagraph"/>
              <w:spacing w:line="240" w:lineRule="auto"/>
              <w:ind w:left="48" w:right="38"/>
              <w:rPr>
                <w:rFonts w:ascii="Cambria" w:hAnsi="Cambria" w:cstheme="minorHAnsi"/>
              </w:rPr>
            </w:pPr>
            <w:r w:rsidRPr="00504223">
              <w:rPr>
                <w:rFonts w:ascii="Cambria" w:hAnsi="Cambria" w:cstheme="minorHAnsi"/>
              </w:rPr>
              <w:t>3.14</w:t>
            </w:r>
          </w:p>
        </w:tc>
        <w:tc>
          <w:tcPr>
            <w:tcW w:w="940" w:type="pct"/>
            <w:tcBorders>
              <w:top w:val="nil"/>
              <w:bottom w:val="single" w:sz="4" w:space="0" w:color="auto"/>
            </w:tcBorders>
          </w:tcPr>
          <w:p w:rsidR="004562B2" w:rsidRPr="00504223" w:rsidRDefault="004562B2" w:rsidP="006A0E97">
            <w:pPr>
              <w:pStyle w:val="TableParagraph"/>
              <w:spacing w:line="240" w:lineRule="auto"/>
              <w:ind w:left="31" w:right="19"/>
              <w:rPr>
                <w:rFonts w:ascii="Cambria" w:hAnsi="Cambria" w:cstheme="minorHAnsi"/>
              </w:rPr>
            </w:pPr>
            <w:r w:rsidRPr="00504223">
              <w:rPr>
                <w:rFonts w:ascii="Cambria" w:hAnsi="Cambria" w:cstheme="minorHAnsi"/>
              </w:rPr>
              <w:t>3.01</w:t>
            </w:r>
          </w:p>
        </w:tc>
      </w:tr>
      <w:tr w:rsidR="004562B2" w:rsidRPr="00504223" w:rsidTr="0043610A">
        <w:trPr>
          <w:trHeight w:val="275"/>
        </w:trPr>
        <w:tc>
          <w:tcPr>
            <w:tcW w:w="2178" w:type="pct"/>
            <w:gridSpan w:val="2"/>
            <w:tcBorders>
              <w:top w:val="single" w:sz="4" w:space="0" w:color="auto"/>
            </w:tcBorders>
          </w:tcPr>
          <w:p w:rsidR="004562B2" w:rsidRPr="006A0E97" w:rsidRDefault="004562B2" w:rsidP="006A0E97">
            <w:pPr>
              <w:pStyle w:val="TableParagraph"/>
              <w:spacing w:line="240" w:lineRule="auto"/>
              <w:ind w:left="17" w:right="5"/>
              <w:rPr>
                <w:rFonts w:ascii="Cambria" w:hAnsi="Cambria" w:cstheme="minorHAnsi"/>
                <w:b/>
                <w:bCs/>
              </w:rPr>
            </w:pPr>
            <w:r w:rsidRPr="006A0E97">
              <w:rPr>
                <w:rFonts w:ascii="Cambria" w:hAnsi="Cambria" w:cstheme="minorHAnsi"/>
                <w:b/>
                <w:bCs/>
              </w:rPr>
              <w:t>Rata-rata</w:t>
            </w:r>
          </w:p>
        </w:tc>
        <w:tc>
          <w:tcPr>
            <w:tcW w:w="941" w:type="pct"/>
            <w:tcBorders>
              <w:top w:val="single" w:sz="4" w:space="0" w:color="auto"/>
            </w:tcBorders>
          </w:tcPr>
          <w:p w:rsidR="004562B2" w:rsidRPr="00504223" w:rsidRDefault="004562B2" w:rsidP="006A0E97">
            <w:pPr>
              <w:pStyle w:val="TableParagraph"/>
              <w:spacing w:line="240" w:lineRule="auto"/>
              <w:ind w:left="48" w:right="38"/>
              <w:rPr>
                <w:rFonts w:ascii="Cambria" w:hAnsi="Cambria" w:cstheme="minorHAnsi"/>
              </w:rPr>
            </w:pPr>
            <w:r w:rsidRPr="00504223">
              <w:rPr>
                <w:rStyle w:val="Kuat"/>
                <w:rFonts w:ascii="Cambria" w:eastAsiaTheme="majorEastAsia" w:hAnsi="Cambria" w:cstheme="minorHAnsi"/>
              </w:rPr>
              <w:t>2.36</w:t>
            </w:r>
          </w:p>
        </w:tc>
        <w:tc>
          <w:tcPr>
            <w:tcW w:w="941" w:type="pct"/>
            <w:tcBorders>
              <w:top w:val="single" w:sz="4" w:space="0" w:color="auto"/>
            </w:tcBorders>
          </w:tcPr>
          <w:p w:rsidR="004562B2" w:rsidRPr="00504223" w:rsidRDefault="004562B2" w:rsidP="006A0E97">
            <w:pPr>
              <w:pStyle w:val="TableParagraph"/>
              <w:spacing w:line="240" w:lineRule="auto"/>
              <w:ind w:left="48" w:right="38"/>
              <w:rPr>
                <w:rFonts w:ascii="Cambria" w:hAnsi="Cambria" w:cstheme="minorHAnsi"/>
                <w:b/>
              </w:rPr>
            </w:pPr>
            <w:r w:rsidRPr="00504223">
              <w:rPr>
                <w:rFonts w:ascii="Cambria" w:hAnsi="Cambria" w:cstheme="minorHAnsi"/>
                <w:b/>
              </w:rPr>
              <w:t>1.77</w:t>
            </w:r>
          </w:p>
        </w:tc>
        <w:tc>
          <w:tcPr>
            <w:tcW w:w="940" w:type="pct"/>
            <w:tcBorders>
              <w:top w:val="single" w:sz="4" w:space="0" w:color="auto"/>
            </w:tcBorders>
          </w:tcPr>
          <w:p w:rsidR="004562B2" w:rsidRPr="00504223" w:rsidRDefault="004562B2" w:rsidP="006A0E97">
            <w:pPr>
              <w:pStyle w:val="TableParagraph"/>
              <w:spacing w:line="240" w:lineRule="auto"/>
              <w:ind w:left="31" w:right="19"/>
              <w:rPr>
                <w:rFonts w:ascii="Cambria" w:hAnsi="Cambria" w:cstheme="minorHAnsi"/>
                <w:b/>
              </w:rPr>
            </w:pPr>
            <w:r w:rsidRPr="00504223">
              <w:rPr>
                <w:rFonts w:ascii="Cambria" w:hAnsi="Cambria" w:cstheme="minorHAnsi"/>
                <w:b/>
              </w:rPr>
              <w:t>1.74</w:t>
            </w:r>
          </w:p>
        </w:tc>
      </w:tr>
    </w:tbl>
    <w:p w:rsidR="004562B2" w:rsidRPr="00504223" w:rsidRDefault="004562B2" w:rsidP="00504223">
      <w:pPr>
        <w:pStyle w:val="TeksIsi"/>
        <w:ind w:right="147"/>
        <w:jc w:val="both"/>
        <w:rPr>
          <w:rFonts w:ascii="Cambria" w:hAnsi="Cambria"/>
        </w:rPr>
      </w:pPr>
      <w:r w:rsidRPr="00504223">
        <w:rPr>
          <w:rFonts w:ascii="Cambria" w:hAnsi="Cambria"/>
        </w:rPr>
        <w:t>Sumber : BEI, data diolah, 2025</w:t>
      </w:r>
    </w:p>
    <w:p w:rsidR="00E178C1" w:rsidRPr="00504223" w:rsidRDefault="004562B2" w:rsidP="00504223">
      <w:pPr>
        <w:ind w:firstLine="720"/>
        <w:jc w:val="both"/>
        <w:rPr>
          <w:rFonts w:ascii="Cambria" w:hAnsi="Cambria"/>
          <w:lang w:val="en-US"/>
        </w:rPr>
      </w:pPr>
      <w:r w:rsidRPr="00504223">
        <w:rPr>
          <w:rFonts w:ascii="Cambria" w:hAnsi="Cambria"/>
        </w:rPr>
        <w:t>Dari data tersebut, terlihat bahwa perusahaan yang memiliki nilai PBV di atas menunjukkan bahwa pasar memberikan penilaian yang baik terhadap nilai perusahaan tersebut mengalami kenaikan dan mengalami menurunan tiap tahun, Hal ini mencerminkan adanya ekspektasi investor terhadap prospek perusahaan di masa mendatang, serta persepsi positif terhadap kinerja keuangan perusahaan, Hal ini bisa terjadi karena beberapa faktor seperti turunnya profitabilitas, tingginya utang, atau laba per lembar terjadi penurunan.</w:t>
      </w:r>
      <w:r w:rsidR="00504223">
        <w:rPr>
          <w:rFonts w:ascii="Cambria" w:hAnsi="Cambria"/>
          <w:lang w:val="en-US"/>
        </w:rPr>
        <w:t xml:space="preserve"> </w:t>
      </w:r>
      <w:r w:rsidR="00923102" w:rsidRPr="00504223">
        <w:rPr>
          <w:rFonts w:ascii="Cambria" w:hAnsi="Cambria"/>
        </w:rPr>
        <w:t xml:space="preserve">Dalam perspektif keuangan perusahaan, terdapat beberapa faktor yang diyakini memengaruhi nilai perusahaan, di antaranya </w:t>
      </w:r>
      <w:r w:rsidR="00923102" w:rsidRPr="00504223">
        <w:rPr>
          <w:rStyle w:val="Kuat"/>
          <w:rFonts w:ascii="Cambria" w:eastAsiaTheme="majorEastAsia" w:hAnsi="Cambria"/>
          <w:b w:val="0"/>
          <w:bCs w:val="0"/>
        </w:rPr>
        <w:t>Debt to Equity Ratio (DER)</w:t>
      </w:r>
      <w:r w:rsidR="00923102" w:rsidRPr="00504223">
        <w:rPr>
          <w:rFonts w:ascii="Cambria" w:hAnsi="Cambria"/>
          <w:b/>
          <w:bCs/>
        </w:rPr>
        <w:t xml:space="preserve">, </w:t>
      </w:r>
      <w:r w:rsidR="00923102" w:rsidRPr="00504223">
        <w:rPr>
          <w:rStyle w:val="Kuat"/>
          <w:rFonts w:ascii="Cambria" w:eastAsiaTheme="majorEastAsia" w:hAnsi="Cambria"/>
          <w:b w:val="0"/>
          <w:bCs w:val="0"/>
        </w:rPr>
        <w:t>Earnings per Share (EPS)</w:t>
      </w:r>
      <w:r w:rsidR="00E178C1" w:rsidRPr="00504223">
        <w:rPr>
          <w:rFonts w:ascii="Cambria" w:hAnsi="Cambria"/>
          <w:lang w:val="en-US"/>
        </w:rPr>
        <w:t>,</w:t>
      </w:r>
      <w:r w:rsidR="00923102" w:rsidRPr="00504223">
        <w:rPr>
          <w:rFonts w:ascii="Cambria" w:hAnsi="Cambria"/>
          <w:b/>
          <w:bCs/>
        </w:rPr>
        <w:t xml:space="preserve"> </w:t>
      </w:r>
      <w:r w:rsidR="00923102" w:rsidRPr="00504223">
        <w:rPr>
          <w:rFonts w:ascii="Cambria" w:hAnsi="Cambria"/>
        </w:rPr>
        <w:t>dan</w:t>
      </w:r>
      <w:r w:rsidR="00923102" w:rsidRPr="00504223">
        <w:rPr>
          <w:rFonts w:ascii="Cambria" w:hAnsi="Cambria"/>
          <w:b/>
          <w:bCs/>
        </w:rPr>
        <w:t xml:space="preserve"> </w:t>
      </w:r>
      <w:r w:rsidR="00923102" w:rsidRPr="00504223">
        <w:rPr>
          <w:rStyle w:val="Kuat"/>
          <w:rFonts w:ascii="Cambria" w:eastAsiaTheme="majorEastAsia" w:hAnsi="Cambria"/>
          <w:b w:val="0"/>
          <w:bCs w:val="0"/>
        </w:rPr>
        <w:t>Return on Equity (ROE)</w:t>
      </w:r>
      <w:r w:rsidR="00923102" w:rsidRPr="00504223">
        <w:rPr>
          <w:rFonts w:ascii="Cambria" w:hAnsi="Cambria"/>
        </w:rPr>
        <w:t>. DER digunakan untuk menggambarkan proporsi penggunaan utang terhadap modal sendiri dalam pembiayaan perusahaan. Rasio ini menjadi indikator penting dalam menilai risiko finansial perusahaan karena penggunaan utang yang berlebihan dapat menurunkan kepercayaan investor meskipun dalam kondisi tertentu mampu meningkatkan pertumbuhan perusahaan melalui efek leverage (Brigham &amp; Houston, 2021).</w:t>
      </w:r>
    </w:p>
    <w:p w:rsidR="00E178C1" w:rsidRPr="00504223" w:rsidRDefault="00923102" w:rsidP="00504223">
      <w:pPr>
        <w:ind w:firstLine="720"/>
        <w:jc w:val="both"/>
        <w:rPr>
          <w:rFonts w:ascii="Cambria" w:hAnsi="Cambria"/>
        </w:rPr>
      </w:pPr>
      <w:r w:rsidRPr="00504223">
        <w:rPr>
          <w:rFonts w:ascii="Cambria" w:hAnsi="Cambria"/>
        </w:rPr>
        <w:t xml:space="preserve">Selain struktur modal, kemampuan perusahaan dalam menghasilkan laba juga menjadi faktor yang menentukan persepsi pasar terhadap perusahaan. Salah satu indikator profitabilitas yang sering digunakan investor adalah </w:t>
      </w:r>
      <w:r w:rsidRPr="00504223">
        <w:rPr>
          <w:rStyle w:val="Kuat"/>
          <w:rFonts w:ascii="Cambria" w:hAnsi="Cambria"/>
          <w:b w:val="0"/>
          <w:bCs w:val="0"/>
        </w:rPr>
        <w:t>Earnings per Share (EPS)</w:t>
      </w:r>
      <w:r w:rsidRPr="00504223">
        <w:rPr>
          <w:rFonts w:ascii="Cambria" w:hAnsi="Cambria"/>
        </w:rPr>
        <w:t xml:space="preserve">. EPS menggambarkan besarnya laba yang diterima pemegang saham atas setiap lembar saham yang dimiliki sehingga semakin tinggi EPS maka semakin besar daya tarik investasi suatu perusahaan (Ross et al., 2020). Sementara itu, </w:t>
      </w:r>
      <w:r w:rsidRPr="00504223">
        <w:rPr>
          <w:rStyle w:val="Kuat"/>
          <w:rFonts w:ascii="Cambria" w:hAnsi="Cambria"/>
          <w:b w:val="0"/>
          <w:bCs w:val="0"/>
        </w:rPr>
        <w:t>Return on Equity (ROE)</w:t>
      </w:r>
      <w:r w:rsidRPr="00504223">
        <w:rPr>
          <w:rFonts w:ascii="Cambria" w:hAnsi="Cambria"/>
        </w:rPr>
        <w:t xml:space="preserve"> digunakan untuk mengukur efektivitas perusahaan dalam menghasilkan keuntungan berdasarkan modal yang dimiliki pemegang saham. Tingginya ROE menunjukkan kemampuan manajemen dalam mengoptimalkan penggunaan modal untuk menghasilkan laba sehingga dapat meningkatkan nilai perusahaan (Harmono, 2021).</w:t>
      </w:r>
    </w:p>
    <w:p w:rsidR="00E178C1" w:rsidRPr="00504223" w:rsidRDefault="00923102" w:rsidP="00504223">
      <w:pPr>
        <w:ind w:firstLine="720"/>
        <w:jc w:val="both"/>
        <w:rPr>
          <w:rFonts w:ascii="Cambria" w:hAnsi="Cambria"/>
        </w:rPr>
      </w:pPr>
      <w:r w:rsidRPr="00504223">
        <w:rPr>
          <w:rFonts w:ascii="Cambria" w:hAnsi="Cambria"/>
        </w:rPr>
        <w:t xml:space="preserve">Meskipun hubungan antara struktur modal, profitabilitas, dan nilai perusahaan telah banyak dibahas dalam literatur keuangan, hasil penelitian empiris masih menunjukkan temuan yang belum konsisten sehingga masih diperlukan pengujian ulang </w:t>
      </w:r>
      <w:r w:rsidRPr="00504223">
        <w:rPr>
          <w:rFonts w:ascii="Cambria" w:hAnsi="Cambria"/>
        </w:rPr>
        <w:lastRenderedPageBreak/>
        <w:t>pada konteks dan periode yang berbeda. Secara teoritis, struktur modal yang optimal dan kemampuan perusahaan menghasilkan laba seharusnya mampu meningkatkan persepsi investor serta mendorong peningkatan nilai perusahaan (Brigham &amp; Houston, 2021; Ross et al., 2020). Namun demikian, berbagai penelitian empiris menunjukkan hasil yang beragam.</w:t>
      </w:r>
      <w:r w:rsidR="00504223">
        <w:rPr>
          <w:rFonts w:ascii="Cambria" w:hAnsi="Cambria"/>
          <w:lang w:val="en-US"/>
        </w:rPr>
        <w:t xml:space="preserve"> </w:t>
      </w:r>
      <w:r w:rsidRPr="00504223">
        <w:rPr>
          <w:rFonts w:ascii="Cambria" w:hAnsi="Cambria"/>
        </w:rPr>
        <w:t>Sejumlah penelitian menemukan bahwa struktur modal dan profitabilitas memberikan pengaruh positif terhadap nilai perusahaan. Penelitian oleh Syahputra dan Yuniati (2023) menunjukkan bahwa profitabilitas dan struktur modal berpengaruh signifikan terhadap peningkatan nilai perusahaan pada perusahaan telekomunikasi di Indonesia. Hasil serupa juga ditemukan oleh Indrayani (2022), yang menyatakan bahwa profitabilitas dan kebijakan keuangan perusahaan mampu meningkatkan nilai perusahaan melalui peningkatan kepercayaan investor. Penelitian Hidayat dan Khotimah (2022) memperkuat temuan tersebut dengan menunjukkan bahwa perusahaan yang mampu menjaga tingkat profitabilitas cenderung memiliki nilai perusahaan yang lebih tinggi.</w:t>
      </w:r>
    </w:p>
    <w:p w:rsidR="00E178C1" w:rsidRPr="00504223" w:rsidRDefault="00923102" w:rsidP="00504223">
      <w:pPr>
        <w:ind w:firstLine="720"/>
        <w:jc w:val="both"/>
        <w:rPr>
          <w:rFonts w:ascii="Cambria" w:hAnsi="Cambria"/>
        </w:rPr>
      </w:pPr>
      <w:r w:rsidRPr="00504223">
        <w:rPr>
          <w:rFonts w:ascii="Cambria" w:hAnsi="Cambria"/>
        </w:rPr>
        <w:t xml:space="preserve">Di sisi lain, beberapa penelitian menunjukkan hasil yang berbeda. Husain et al. (2023) menemukan bahwa pengaruh profitabilitas terhadap nilai perusahaan tidak selalu konsisten dan dapat berubah ketika dipengaruhi oleh kebijakan dividen sebagai variabel moderasi. Penelitian Sanusi et al. (2023) juga menunjukkan bahwa struktur modal dan profitabilitas tidak selalu memberikan pengaruh langsung terhadap nilai perusahaan pada industri telekomunikasi karena adanya karakteristik industri yang padat modal dan membutuhkan investasi jangka panjang. </w:t>
      </w:r>
      <w:r w:rsidR="0058294C" w:rsidRPr="005970B6">
        <w:rPr>
          <w:rFonts w:ascii="Cambria" w:hAnsi="Cambria"/>
        </w:rPr>
        <w:t>Hidayat and Khotimah (2022) menyatakan bahwa Profitabilitas tidak berpengaruh signifikan terhadap nilai perusahaan</w:t>
      </w:r>
      <w:r w:rsidR="0058294C">
        <w:rPr>
          <w:rFonts w:ascii="Cambria" w:hAnsi="Cambria"/>
          <w:lang w:val="en-US"/>
        </w:rPr>
        <w:t xml:space="preserve">. </w:t>
      </w:r>
      <w:r w:rsidRPr="00504223">
        <w:rPr>
          <w:rFonts w:ascii="Cambria" w:hAnsi="Cambria"/>
        </w:rPr>
        <w:t>Temuan berbeda juga dilaporkan oleh Sahyu (2023), yang menunjukkan bahwa beberapa indikator keuangan tidak memberikan pengaruh signifikan terhadap nilai perusahaan pada kondisi tertentu.</w:t>
      </w:r>
    </w:p>
    <w:p w:rsidR="00E178C1" w:rsidRPr="00504223" w:rsidRDefault="00923102" w:rsidP="00504223">
      <w:pPr>
        <w:ind w:firstLine="720"/>
        <w:jc w:val="both"/>
        <w:rPr>
          <w:rFonts w:ascii="Cambria" w:hAnsi="Cambria"/>
        </w:rPr>
      </w:pPr>
      <w:r w:rsidRPr="00504223">
        <w:rPr>
          <w:rFonts w:ascii="Cambria" w:hAnsi="Cambria"/>
        </w:rPr>
        <w:t>Selain adanya inkonsistensi hasil penelitian (</w:t>
      </w:r>
      <w:r w:rsidRPr="00504223">
        <w:rPr>
          <w:rStyle w:val="Kuat"/>
          <w:rFonts w:ascii="Cambria" w:eastAsiaTheme="majorEastAsia" w:hAnsi="Cambria"/>
          <w:b w:val="0"/>
          <w:bCs w:val="0"/>
        </w:rPr>
        <w:t>empirical gap</w:t>
      </w:r>
      <w:r w:rsidRPr="00504223">
        <w:rPr>
          <w:rFonts w:ascii="Cambria" w:hAnsi="Cambria"/>
        </w:rPr>
        <w:t>), masih ditemukan keterbatasan pada konteks penelitian (</w:t>
      </w:r>
      <w:r w:rsidRPr="00504223">
        <w:rPr>
          <w:rStyle w:val="Kuat"/>
          <w:rFonts w:ascii="Cambria" w:eastAsiaTheme="majorEastAsia" w:hAnsi="Cambria"/>
          <w:b w:val="0"/>
          <w:bCs w:val="0"/>
        </w:rPr>
        <w:t>contextual gap</w:t>
      </w:r>
      <w:r w:rsidRPr="00504223">
        <w:rPr>
          <w:rFonts w:ascii="Cambria" w:hAnsi="Cambria"/>
        </w:rPr>
        <w:t xml:space="preserve">). Sebagian besar penelitian terdahulu lebih banyak menggunakan objek perusahaan manufaktur atau menggabungkan berbagai sektor industri dengan indikator profitabilitas yang berbeda seperti Return on Assets (ROA), Net Profit Margin (NPM), atau ukuran perusahaan (Rinnaya et al., 2016; Harmono, 2021). Penelitian yang secara khusus menguji pengaruh </w:t>
      </w:r>
      <w:r w:rsidRPr="00504223">
        <w:rPr>
          <w:rStyle w:val="Kuat"/>
          <w:rFonts w:ascii="Cambria" w:eastAsiaTheme="majorEastAsia" w:hAnsi="Cambria"/>
          <w:b w:val="0"/>
          <w:bCs w:val="0"/>
        </w:rPr>
        <w:t>Debt to Equity Ratio (DER), Earnings per Share (EPS), dan Return on Equity (ROE</w:t>
      </w:r>
      <w:r w:rsidRPr="00504223">
        <w:rPr>
          <w:rStyle w:val="Kuat"/>
          <w:rFonts w:ascii="Cambria" w:eastAsiaTheme="majorEastAsia" w:hAnsi="Cambria"/>
        </w:rPr>
        <w:t>)</w:t>
      </w:r>
      <w:r w:rsidRPr="00504223">
        <w:rPr>
          <w:rFonts w:ascii="Cambria" w:hAnsi="Cambria"/>
        </w:rPr>
        <w:t xml:space="preserve"> secara simultan pada </w:t>
      </w:r>
      <w:r w:rsidRPr="00504223">
        <w:rPr>
          <w:rStyle w:val="Kuat"/>
          <w:rFonts w:ascii="Cambria" w:eastAsiaTheme="majorEastAsia" w:hAnsi="Cambria"/>
          <w:b w:val="0"/>
          <w:bCs w:val="0"/>
        </w:rPr>
        <w:t>perusahaan sektor telekomunikasi di Bursa Efek Indonesia periode 2022–2024</w:t>
      </w:r>
      <w:r w:rsidRPr="00504223">
        <w:rPr>
          <w:rFonts w:ascii="Cambria" w:hAnsi="Cambria"/>
        </w:rPr>
        <w:t xml:space="preserve"> masih relatif terbatas.</w:t>
      </w:r>
      <w:r w:rsidR="00504223">
        <w:rPr>
          <w:rFonts w:ascii="Cambria" w:hAnsi="Cambria"/>
          <w:lang w:val="en-US"/>
        </w:rPr>
        <w:t xml:space="preserve"> </w:t>
      </w:r>
      <w:r w:rsidRPr="00504223">
        <w:rPr>
          <w:rFonts w:ascii="Cambria" w:hAnsi="Cambria"/>
        </w:rPr>
        <w:t xml:space="preserve">Selain itu, perubahan kondisi industri telekomunikasi yang dipengaruhi percepatan transformasi digital, peningkatan kebutuhan investasi infrastruktur, serta dinamika perilaku investor pasca perkembangan ekonomi digital berpotensi mengubah hubungan antara struktur modal, profitabilitas, dan nilai perusahaan (Sanusi et al., 2023). Oleh karena itu, penelitian ini dilakukan untuk memberikan bukti empiris yang lebih mutakhir mengenai pengaruh </w:t>
      </w:r>
      <w:r w:rsidRPr="00504223">
        <w:rPr>
          <w:rStyle w:val="Kuat"/>
          <w:rFonts w:ascii="Cambria" w:eastAsiaTheme="majorEastAsia" w:hAnsi="Cambria"/>
          <w:b w:val="0"/>
          <w:bCs w:val="0"/>
        </w:rPr>
        <w:t>Debt to Equity Ratio (DER), Earnings per Share (EPS), dan Return on Equity (ROE) terhadap nilai perusahaan</w:t>
      </w:r>
      <w:r w:rsidRPr="00504223">
        <w:rPr>
          <w:rFonts w:ascii="Cambria" w:hAnsi="Cambria"/>
        </w:rPr>
        <w:t xml:space="preserve"> pada perusahaan sektor telekomunikasi yang terdaftar di Bursa Efek Indonesia</w:t>
      </w:r>
      <w:r w:rsidR="004562B2" w:rsidRPr="00504223">
        <w:rPr>
          <w:rFonts w:ascii="Cambria" w:hAnsi="Cambria"/>
          <w:lang w:val="en-US"/>
        </w:rPr>
        <w:t>.</w:t>
      </w:r>
    </w:p>
    <w:p w:rsidR="00DA6497" w:rsidRDefault="00DA6497" w:rsidP="00504223">
      <w:pPr>
        <w:ind w:firstLine="720"/>
        <w:jc w:val="both"/>
        <w:rPr>
          <w:rFonts w:ascii="Cambria" w:hAnsi="Cambria"/>
        </w:rPr>
      </w:pPr>
      <w:r w:rsidRPr="00504223">
        <w:rPr>
          <w:rFonts w:ascii="Cambria" w:hAnsi="Cambria"/>
        </w:rPr>
        <w:t>Berdasarkan teori dan kajian pustaka maka kerangka pemikiran penelitian ini ditampilkan pada gambar 1.</w:t>
      </w:r>
    </w:p>
    <w:p w:rsidR="006A0E97" w:rsidRDefault="006A0E97" w:rsidP="00504223">
      <w:pPr>
        <w:ind w:firstLine="720"/>
        <w:jc w:val="both"/>
        <w:rPr>
          <w:rFonts w:ascii="Cambria" w:hAnsi="Cambria"/>
        </w:rPr>
      </w:pPr>
    </w:p>
    <w:p w:rsidR="006A0E97" w:rsidRDefault="006A0E97" w:rsidP="00504223">
      <w:pPr>
        <w:ind w:firstLine="720"/>
        <w:jc w:val="both"/>
        <w:rPr>
          <w:rFonts w:ascii="Cambria" w:hAnsi="Cambria"/>
        </w:rPr>
      </w:pPr>
    </w:p>
    <w:p w:rsidR="006A0E97" w:rsidRDefault="006A0E97" w:rsidP="00504223">
      <w:pPr>
        <w:ind w:firstLine="720"/>
        <w:jc w:val="both"/>
        <w:rPr>
          <w:rFonts w:ascii="Cambria" w:hAnsi="Cambria"/>
        </w:rPr>
      </w:pPr>
    </w:p>
    <w:p w:rsidR="006A0E97" w:rsidRDefault="006A0E97" w:rsidP="00504223">
      <w:pPr>
        <w:ind w:firstLine="720"/>
        <w:jc w:val="both"/>
        <w:rPr>
          <w:rFonts w:ascii="Cambria" w:hAnsi="Cambria"/>
        </w:rPr>
      </w:pPr>
    </w:p>
    <w:p w:rsidR="006A0E97" w:rsidRDefault="006A0E97" w:rsidP="00504223">
      <w:pPr>
        <w:ind w:firstLine="720"/>
        <w:jc w:val="both"/>
        <w:rPr>
          <w:rFonts w:ascii="Cambria" w:hAnsi="Cambria"/>
        </w:rPr>
      </w:pPr>
    </w:p>
    <w:p w:rsidR="006A0E97" w:rsidRPr="00504223" w:rsidRDefault="006A0E97" w:rsidP="00504223">
      <w:pPr>
        <w:ind w:firstLine="720"/>
        <w:jc w:val="both"/>
        <w:rPr>
          <w:rFonts w:ascii="Cambria" w:hAnsi="Cambria"/>
          <w:lang w:val="en-US"/>
        </w:rPr>
      </w:pPr>
    </w:p>
    <w:p w:rsidR="00DA6497" w:rsidRPr="00504223" w:rsidRDefault="00E178C1" w:rsidP="00504223">
      <w:pPr>
        <w:pStyle w:val="TeksIsi"/>
        <w:ind w:left="283" w:right="158" w:firstLine="360"/>
        <w:jc w:val="both"/>
        <w:rPr>
          <w:rFonts w:ascii="Cambria" w:hAnsi="Cambria"/>
          <w:sz w:val="24"/>
          <w:szCs w:val="24"/>
        </w:rPr>
      </w:pPr>
      <w:r w:rsidRPr="00504223">
        <w:rPr>
          <w:rFonts w:ascii="Cambria" w:hAnsi="Cambria"/>
          <w:noProof/>
          <w:sz w:val="24"/>
          <w:szCs w:val="24"/>
          <w:lang w:val="en-US"/>
        </w:rPr>
        <w:lastRenderedPageBreak/>
        <w:drawing>
          <wp:anchor distT="0" distB="0" distL="114300" distR="114300" simplePos="0" relativeHeight="251659264" behindDoc="0" locked="0" layoutInCell="1" allowOverlap="1" wp14:anchorId="0E5EBF82" wp14:editId="63E592D3">
            <wp:simplePos x="0" y="0"/>
            <wp:positionH relativeFrom="column">
              <wp:posOffset>-71090</wp:posOffset>
            </wp:positionH>
            <wp:positionV relativeFrom="paragraph">
              <wp:posOffset>24603</wp:posOffset>
            </wp:positionV>
            <wp:extent cx="5773257" cy="188142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58048" cy="2072001"/>
                    </a:xfrm>
                    <a:prstGeom prst="rect">
                      <a:avLst/>
                    </a:prstGeom>
                  </pic:spPr>
                </pic:pic>
              </a:graphicData>
            </a:graphic>
            <wp14:sizeRelH relativeFrom="page">
              <wp14:pctWidth>0</wp14:pctWidth>
            </wp14:sizeRelH>
            <wp14:sizeRelV relativeFrom="page">
              <wp14:pctHeight>0</wp14:pctHeight>
            </wp14:sizeRelV>
          </wp:anchor>
        </w:drawing>
      </w:r>
    </w:p>
    <w:p w:rsidR="00DA6497" w:rsidRPr="00504223" w:rsidRDefault="00DA6497" w:rsidP="00504223">
      <w:pPr>
        <w:pStyle w:val="TeksIsi"/>
        <w:ind w:left="283" w:right="158" w:firstLine="360"/>
        <w:jc w:val="both"/>
        <w:rPr>
          <w:rFonts w:ascii="Cambria" w:hAnsi="Cambria"/>
          <w:sz w:val="24"/>
          <w:szCs w:val="24"/>
        </w:rPr>
      </w:pPr>
    </w:p>
    <w:p w:rsidR="00E178C1" w:rsidRPr="00504223" w:rsidRDefault="00E178C1" w:rsidP="00504223">
      <w:pPr>
        <w:pStyle w:val="pdq2pgselectionanchorcontainer"/>
        <w:rPr>
          <w:rFonts w:ascii="Cambria" w:hAnsi="Cambria"/>
        </w:rPr>
      </w:pPr>
    </w:p>
    <w:p w:rsidR="00E178C1" w:rsidRPr="00504223" w:rsidRDefault="00E178C1" w:rsidP="00504223">
      <w:pPr>
        <w:pStyle w:val="pdq2pgselectionanchorcontainer"/>
        <w:rPr>
          <w:rFonts w:ascii="Cambria" w:hAnsi="Cambria"/>
        </w:rPr>
      </w:pPr>
    </w:p>
    <w:p w:rsidR="006A0E97" w:rsidRDefault="006A0E97" w:rsidP="00504223">
      <w:pPr>
        <w:pStyle w:val="pdq2pgselectionanchorcontainer"/>
        <w:spacing w:after="0" w:afterAutospacing="0"/>
        <w:jc w:val="center"/>
        <w:rPr>
          <w:rFonts w:ascii="Cambria" w:hAnsi="Cambria"/>
          <w:b/>
          <w:bCs/>
          <w:lang w:val="en-US"/>
        </w:rPr>
      </w:pPr>
    </w:p>
    <w:p w:rsidR="006A0E97" w:rsidRDefault="006A0E97" w:rsidP="00504223">
      <w:pPr>
        <w:pStyle w:val="pdq2pgselectionanchorcontainer"/>
        <w:spacing w:after="0" w:afterAutospacing="0"/>
        <w:jc w:val="center"/>
        <w:rPr>
          <w:rFonts w:ascii="Cambria" w:hAnsi="Cambria"/>
          <w:b/>
          <w:bCs/>
          <w:lang w:val="en-US"/>
        </w:rPr>
      </w:pPr>
    </w:p>
    <w:p w:rsidR="006A0E97" w:rsidRDefault="00E178C1" w:rsidP="006A0E97">
      <w:pPr>
        <w:pStyle w:val="pdq2pgselectionanchorcontainer"/>
        <w:spacing w:after="0" w:afterAutospacing="0"/>
        <w:jc w:val="center"/>
        <w:rPr>
          <w:rFonts w:ascii="Cambria" w:hAnsi="Cambria"/>
          <w:b/>
          <w:bCs/>
          <w:lang w:val="en-US"/>
        </w:rPr>
      </w:pPr>
      <w:r w:rsidRPr="00504223">
        <w:rPr>
          <w:rFonts w:ascii="Cambria" w:hAnsi="Cambria"/>
          <w:b/>
          <w:bCs/>
          <w:lang w:val="en-US"/>
        </w:rPr>
        <w:t>Gambar 1. Kerangka Pemikiran</w:t>
      </w:r>
    </w:p>
    <w:p w:rsidR="00E178C1" w:rsidRPr="00504223" w:rsidRDefault="00E178C1" w:rsidP="00504223">
      <w:pPr>
        <w:pStyle w:val="pdq2pgselectionanchorcontainer"/>
        <w:spacing w:before="0" w:beforeAutospacing="0" w:after="0" w:afterAutospacing="0"/>
        <w:jc w:val="both"/>
        <w:rPr>
          <w:rFonts w:ascii="Cambria" w:hAnsi="Cambria"/>
          <w:b/>
          <w:bCs/>
          <w:lang w:val="en-US"/>
        </w:rPr>
      </w:pPr>
      <w:r w:rsidRPr="00504223">
        <w:rPr>
          <w:rFonts w:ascii="Cambria" w:hAnsi="Cambria"/>
          <w:b/>
          <w:bCs/>
          <w:lang w:val="en-US"/>
        </w:rPr>
        <w:t xml:space="preserve">Pengaruh </w:t>
      </w:r>
      <w:r w:rsidR="00504223" w:rsidRPr="00504223">
        <w:rPr>
          <w:rFonts w:ascii="Cambria" w:hAnsi="Cambria"/>
          <w:b/>
          <w:bCs/>
          <w:lang w:val="en-US"/>
        </w:rPr>
        <w:t xml:space="preserve">Debt </w:t>
      </w:r>
      <w:r w:rsidR="00504223">
        <w:rPr>
          <w:rFonts w:ascii="Cambria" w:hAnsi="Cambria"/>
          <w:b/>
          <w:bCs/>
          <w:lang w:val="en-US"/>
        </w:rPr>
        <w:t>t</w:t>
      </w:r>
      <w:r w:rsidR="00504223" w:rsidRPr="00504223">
        <w:rPr>
          <w:rFonts w:ascii="Cambria" w:hAnsi="Cambria"/>
          <w:b/>
          <w:bCs/>
          <w:lang w:val="en-US"/>
        </w:rPr>
        <w:t>o Equity Terhadap Nilai Perusahaan</w:t>
      </w:r>
    </w:p>
    <w:p w:rsidR="00E178C1" w:rsidRPr="00504223" w:rsidRDefault="004562B2" w:rsidP="00504223">
      <w:pPr>
        <w:pStyle w:val="pdq2pgselectionanchorcontainer"/>
        <w:spacing w:before="0" w:beforeAutospacing="0" w:after="0" w:afterAutospacing="0"/>
        <w:ind w:firstLine="720"/>
        <w:jc w:val="both"/>
        <w:rPr>
          <w:rFonts w:ascii="Cambria" w:hAnsi="Cambria"/>
        </w:rPr>
      </w:pPr>
      <w:r w:rsidRPr="00504223">
        <w:rPr>
          <w:rFonts w:ascii="Cambria" w:hAnsi="Cambria"/>
        </w:rPr>
        <w:t xml:space="preserve">Struktur modal merupakan keputusan keuangan yang menentukan proporsi penggunaan utang dan modal sendiri dalam membiayai aktivitas perusahaan. Menurut teori </w:t>
      </w:r>
      <w:r w:rsidRPr="00504223">
        <w:rPr>
          <w:rStyle w:val="Penekanan"/>
          <w:rFonts w:ascii="Cambria" w:hAnsi="Cambria"/>
        </w:rPr>
        <w:t>Trade-Off</w:t>
      </w:r>
      <w:r w:rsidRPr="00504223">
        <w:rPr>
          <w:rFonts w:ascii="Cambria" w:hAnsi="Cambria"/>
        </w:rPr>
        <w:t>, penggunaan utang pada tingkat optimal dapat meningkatkan nilai perusahaan melalui manfaat pajak, tetapi penggunaan utang yang berlebihan berpotensi meningkatkan risiko finansial dan menurunkan persepsi investor terhadap perusahaan (Brigham &amp; Houston, 2021; Ross et al., 2020; Sanusi et al., 2023; Husain et al., 2023; Romauli et al., 2026).</w:t>
      </w:r>
      <w:r w:rsidR="00504223">
        <w:rPr>
          <w:rFonts w:ascii="Cambria" w:hAnsi="Cambria"/>
          <w:lang w:val="en-US"/>
        </w:rPr>
        <w:t xml:space="preserve"> </w:t>
      </w:r>
      <w:r w:rsidRPr="00504223">
        <w:rPr>
          <w:rFonts w:ascii="Cambria" w:hAnsi="Cambria"/>
        </w:rPr>
        <w:t>Debt to Equity Ratio (DER) digunakan untuk mengukur kemampuan perusahaan dalam mengelola pendanaan yang berasal dari utang dibandingkan modal sendiri. Pada perusahaan sektor telekomunikasi, kebutuhan investasi yang tinggi menyebabkan keputusan struktur modal menjadi faktor penting dalam menentukan keberlanjutan pertumbuhan perusahaan. Investor cenderung menilai penggunaan utang sebagai sinyal ekspansi perusahaan selama masih berada pada tingkat yang dapat dikendalikan (Brigham &amp; Houston, 2021; Ross et al., 2020).</w:t>
      </w:r>
    </w:p>
    <w:p w:rsidR="00504223" w:rsidRDefault="004562B2" w:rsidP="00504223">
      <w:pPr>
        <w:pStyle w:val="pdq2pgselectionanchorcontainer"/>
        <w:spacing w:before="0" w:beforeAutospacing="0" w:after="0" w:afterAutospacing="0"/>
        <w:ind w:firstLine="720"/>
        <w:jc w:val="both"/>
        <w:rPr>
          <w:rFonts w:ascii="Cambria" w:hAnsi="Cambria"/>
        </w:rPr>
      </w:pPr>
      <w:r w:rsidRPr="00504223">
        <w:rPr>
          <w:rFonts w:ascii="Cambria" w:hAnsi="Cambria"/>
        </w:rPr>
        <w:t>Hasil penelitian terdahulu menunjukkan bahwa struktur modal memiliki hubungan terhadap pembentukan nilai perusahaan. Penelitian Syahputra dan Yuniati (2023), Purwanto dan Agustin (2023), Anjani dan Sandari (2022), Husain et al. (2023), serta Sanusi et al. (2023) menunjukkan bahwa peningkatan efektivitas pengelolaan struktur modal berkontribusi terhadap peningkatan nilai perusahaan.</w:t>
      </w:r>
      <w:r w:rsidR="00E178C1" w:rsidRPr="00504223">
        <w:rPr>
          <w:rFonts w:ascii="Cambria" w:hAnsi="Cambria"/>
          <w:lang w:val="en-US"/>
        </w:rPr>
        <w:t xml:space="preserve"> </w:t>
      </w:r>
      <w:r w:rsidRPr="00504223">
        <w:rPr>
          <w:rFonts w:ascii="Cambria" w:hAnsi="Cambria"/>
        </w:rPr>
        <w:t>Berdasarkan argumentasi teoritis dan bukti empiris tersebut, dirumuskan hipotesis:</w:t>
      </w:r>
    </w:p>
    <w:p w:rsidR="00504223" w:rsidRDefault="004562B2" w:rsidP="00504223">
      <w:pPr>
        <w:pStyle w:val="pdq2pgselectionanchorcontainer"/>
        <w:spacing w:before="0" w:beforeAutospacing="0" w:after="0" w:afterAutospacing="0"/>
        <w:jc w:val="both"/>
        <w:rPr>
          <w:rStyle w:val="Kuat"/>
          <w:rFonts w:ascii="Cambria" w:hAnsi="Cambria"/>
          <w:b w:val="0"/>
          <w:bCs w:val="0"/>
        </w:rPr>
      </w:pPr>
      <w:r w:rsidRPr="00504223">
        <w:rPr>
          <w:rStyle w:val="Kuat"/>
          <w:rFonts w:ascii="Cambria" w:hAnsi="Cambria"/>
          <w:b w:val="0"/>
          <w:bCs w:val="0"/>
        </w:rPr>
        <w:t>H1: Debt to Equity Ratio (DER) berpengaruh positif terhadap nilai perusahaan.</w:t>
      </w:r>
    </w:p>
    <w:p w:rsidR="00504223" w:rsidRDefault="004562B2" w:rsidP="00504223">
      <w:pPr>
        <w:pStyle w:val="pdq2pgselectionanchorcontainer"/>
        <w:spacing w:before="0" w:beforeAutospacing="0" w:after="0" w:afterAutospacing="0"/>
        <w:jc w:val="both"/>
        <w:rPr>
          <w:rFonts w:ascii="Cambria" w:hAnsi="Cambria"/>
          <w:b/>
          <w:bCs/>
          <w:color w:val="000000" w:themeColor="text1"/>
          <w:lang w:val="en-US"/>
        </w:rPr>
      </w:pPr>
      <w:r w:rsidRPr="00504223">
        <w:rPr>
          <w:rFonts w:ascii="Cambria" w:hAnsi="Cambria"/>
          <w:b/>
          <w:bCs/>
          <w:color w:val="000000" w:themeColor="text1"/>
        </w:rPr>
        <w:t xml:space="preserve">Pengaruh Earnings </w:t>
      </w:r>
      <w:r w:rsidR="00504223">
        <w:rPr>
          <w:rFonts w:ascii="Cambria" w:hAnsi="Cambria"/>
          <w:b/>
          <w:bCs/>
          <w:color w:val="000000" w:themeColor="text1"/>
          <w:lang w:val="en-US"/>
        </w:rPr>
        <w:t>p</w:t>
      </w:r>
      <w:r w:rsidR="00504223" w:rsidRPr="00504223">
        <w:rPr>
          <w:rFonts w:ascii="Cambria" w:hAnsi="Cambria"/>
          <w:b/>
          <w:bCs/>
          <w:color w:val="000000" w:themeColor="text1"/>
        </w:rPr>
        <w:t xml:space="preserve">er </w:t>
      </w:r>
      <w:r w:rsidRPr="00504223">
        <w:rPr>
          <w:rFonts w:ascii="Cambria" w:hAnsi="Cambria"/>
          <w:b/>
          <w:bCs/>
          <w:color w:val="000000" w:themeColor="text1"/>
        </w:rPr>
        <w:t xml:space="preserve">Share </w:t>
      </w:r>
      <w:r w:rsidR="00504223" w:rsidRPr="00504223">
        <w:rPr>
          <w:rFonts w:ascii="Cambria" w:hAnsi="Cambria"/>
          <w:b/>
          <w:bCs/>
          <w:color w:val="000000" w:themeColor="text1"/>
        </w:rPr>
        <w:t>(</w:t>
      </w:r>
      <w:r w:rsidRPr="00504223">
        <w:rPr>
          <w:rFonts w:ascii="Cambria" w:hAnsi="Cambria"/>
          <w:b/>
          <w:bCs/>
          <w:color w:val="000000" w:themeColor="text1"/>
        </w:rPr>
        <w:t>EPS</w:t>
      </w:r>
      <w:r w:rsidR="00504223" w:rsidRPr="00504223">
        <w:rPr>
          <w:rFonts w:ascii="Cambria" w:hAnsi="Cambria"/>
          <w:b/>
          <w:bCs/>
          <w:color w:val="000000" w:themeColor="text1"/>
        </w:rPr>
        <w:t xml:space="preserve">) Terhadap </w:t>
      </w:r>
      <w:r w:rsidRPr="00504223">
        <w:rPr>
          <w:rFonts w:ascii="Cambria" w:hAnsi="Cambria"/>
          <w:b/>
          <w:bCs/>
          <w:color w:val="000000" w:themeColor="text1"/>
        </w:rPr>
        <w:t>Nilai Perusahaan</w:t>
      </w:r>
      <w:r w:rsidR="00504223" w:rsidRPr="00504223">
        <w:rPr>
          <w:rFonts w:ascii="Cambria" w:hAnsi="Cambria"/>
          <w:b/>
          <w:bCs/>
          <w:color w:val="000000" w:themeColor="text1"/>
          <w:lang w:val="en-US"/>
        </w:rPr>
        <w:t>.</w:t>
      </w:r>
    </w:p>
    <w:p w:rsidR="00504223" w:rsidRPr="006A0E97" w:rsidRDefault="004562B2" w:rsidP="006A0E97">
      <w:pPr>
        <w:pStyle w:val="pdq2pgselectionanchorcontainer"/>
        <w:spacing w:before="0" w:beforeAutospacing="0" w:after="0" w:afterAutospacing="0"/>
        <w:ind w:firstLine="720"/>
        <w:jc w:val="both"/>
        <w:rPr>
          <w:rFonts w:ascii="Cambria" w:hAnsi="Cambria"/>
          <w:color w:val="000000" w:themeColor="text1"/>
          <w:lang w:val="en-US"/>
        </w:rPr>
      </w:pPr>
      <w:r w:rsidRPr="00504223">
        <w:rPr>
          <w:rFonts w:ascii="Cambria" w:hAnsi="Cambria"/>
          <w:color w:val="000000" w:themeColor="text1"/>
        </w:rPr>
        <w:t xml:space="preserve">Earnings per Share (EPS) merupakan indikator yang menunjukkan kemampuan perusahaan menghasilkan laba bagi setiap lembar saham yang dimiliki investor. Dalam perspektif </w:t>
      </w:r>
      <w:r w:rsidRPr="00504223">
        <w:rPr>
          <w:rStyle w:val="Penekanan"/>
          <w:rFonts w:ascii="Cambria" w:hAnsi="Cambria"/>
          <w:color w:val="000000" w:themeColor="text1"/>
        </w:rPr>
        <w:t>Signaling Theory</w:t>
      </w:r>
      <w:r w:rsidRPr="00504223">
        <w:rPr>
          <w:rFonts w:ascii="Cambria" w:hAnsi="Cambria"/>
          <w:color w:val="000000" w:themeColor="text1"/>
        </w:rPr>
        <w:t>, peningkatan laba per saham dipandang sebagai sinyal</w:t>
      </w:r>
      <w:r w:rsidR="00504223">
        <w:rPr>
          <w:rFonts w:ascii="Cambria" w:hAnsi="Cambria"/>
          <w:color w:val="000000" w:themeColor="text1"/>
          <w:lang w:val="en-US"/>
        </w:rPr>
        <w:t xml:space="preserve"> </w:t>
      </w:r>
      <w:r w:rsidRPr="00504223">
        <w:rPr>
          <w:rFonts w:ascii="Cambria" w:hAnsi="Cambria"/>
          <w:color w:val="000000" w:themeColor="text1"/>
        </w:rPr>
        <w:t>positif mengenai prospek perusahaan sehingga dapat meningkatkan permintaan saham dan mendorong kenaikan nilai perusahaan (Ross et al., 2020; Brigham &amp; Houston, 2021; Harmono, 2021; Husain et al., 2023; Syahputra &amp; Yuniati, 2023)</w:t>
      </w:r>
      <w:r w:rsidR="00504223">
        <w:rPr>
          <w:rFonts w:ascii="Cambria" w:hAnsi="Cambria"/>
          <w:color w:val="000000" w:themeColor="text1"/>
          <w:lang w:val="en-US"/>
        </w:rPr>
        <w:t>.</w:t>
      </w:r>
      <w:r w:rsidR="006A0E97">
        <w:rPr>
          <w:rFonts w:ascii="Cambria" w:hAnsi="Cambria"/>
          <w:color w:val="000000" w:themeColor="text1"/>
          <w:lang w:val="en-US"/>
        </w:rPr>
        <w:t xml:space="preserve"> </w:t>
      </w:r>
      <w:r w:rsidRPr="00504223">
        <w:rPr>
          <w:rFonts w:ascii="Cambria" w:hAnsi="Cambria"/>
          <w:color w:val="000000" w:themeColor="text1"/>
        </w:rPr>
        <w:t>EPS menjadi salah satu indikator yang banyak digunakan investor dalam mengevaluasi kinerja perusahaan karena menggambarkan tingkat keuntungan yang diperoleh pemegang saham. Semakin tinggi EPS maka semakin besar peluang perusahaan memperoleh apresiasi pasar dan peningkatan nilai perusahaan (Ross et al., 2020; Harmono, 2021).</w:t>
      </w:r>
    </w:p>
    <w:p w:rsidR="00504223" w:rsidRDefault="004562B2" w:rsidP="00504223">
      <w:pPr>
        <w:pStyle w:val="pdq2pgselectionanchorcontainer"/>
        <w:spacing w:before="0" w:beforeAutospacing="0" w:after="0" w:afterAutospacing="0"/>
        <w:ind w:firstLine="720"/>
        <w:jc w:val="both"/>
        <w:rPr>
          <w:rFonts w:ascii="Cambria" w:hAnsi="Cambria"/>
          <w:color w:val="000000" w:themeColor="text1"/>
        </w:rPr>
      </w:pPr>
      <w:r w:rsidRPr="00504223">
        <w:rPr>
          <w:rFonts w:ascii="Cambria" w:hAnsi="Cambria"/>
          <w:color w:val="000000" w:themeColor="text1"/>
        </w:rPr>
        <w:t xml:space="preserve">Temuan empiris menunjukkan bahwa kemampuan perusahaan menghasilkan laba memiliki hubungan terhadap peningkatan nilai perusahaan. Penelitian Indrayani (2022), Hidayat dan Khotimah (2022), Husain et al. (2023), Sanusi et al. (2023), serta Syahputra dan Yuniati (2023) menunjukkan bahwa profitabilitas dan kemampuan menghasilkan </w:t>
      </w:r>
      <w:r w:rsidRPr="00504223">
        <w:rPr>
          <w:rFonts w:ascii="Cambria" w:hAnsi="Cambria"/>
          <w:color w:val="000000" w:themeColor="text1"/>
        </w:rPr>
        <w:lastRenderedPageBreak/>
        <w:t>laba memberikan sinyal positif bagi investor.</w:t>
      </w:r>
      <w:r w:rsidR="00E178C1" w:rsidRPr="00504223">
        <w:rPr>
          <w:rFonts w:ascii="Cambria" w:hAnsi="Cambria"/>
          <w:color w:val="000000" w:themeColor="text1"/>
          <w:lang w:val="en-US"/>
        </w:rPr>
        <w:t xml:space="preserve"> </w:t>
      </w:r>
      <w:r w:rsidRPr="00504223">
        <w:rPr>
          <w:rFonts w:ascii="Cambria" w:hAnsi="Cambria"/>
          <w:color w:val="000000" w:themeColor="text1"/>
        </w:rPr>
        <w:t>Berdasarkan uraian tersebut dirumuskan hipotesis:</w:t>
      </w:r>
    </w:p>
    <w:p w:rsidR="00504223" w:rsidRDefault="004562B2" w:rsidP="00504223">
      <w:pPr>
        <w:pStyle w:val="pdq2pgselectionanchorcontainer"/>
        <w:spacing w:before="0" w:beforeAutospacing="0" w:after="0" w:afterAutospacing="0"/>
        <w:jc w:val="both"/>
        <w:rPr>
          <w:rStyle w:val="Kuat"/>
          <w:rFonts w:ascii="Cambria" w:hAnsi="Cambria"/>
          <w:b w:val="0"/>
          <w:bCs w:val="0"/>
          <w:color w:val="000000" w:themeColor="text1"/>
        </w:rPr>
      </w:pPr>
      <w:r w:rsidRPr="00504223">
        <w:rPr>
          <w:rStyle w:val="Kuat"/>
          <w:rFonts w:ascii="Cambria" w:hAnsi="Cambria"/>
          <w:b w:val="0"/>
          <w:bCs w:val="0"/>
          <w:color w:val="000000" w:themeColor="text1"/>
        </w:rPr>
        <w:t>H2: Earnings per Share (EPS) berpengaruh positif terhadap nilai perusahaan.</w:t>
      </w:r>
    </w:p>
    <w:p w:rsidR="00504223" w:rsidRDefault="004562B2" w:rsidP="00504223">
      <w:pPr>
        <w:pStyle w:val="pdq2pgselectionanchorcontainer"/>
        <w:spacing w:before="0" w:beforeAutospacing="0" w:after="0" w:afterAutospacing="0"/>
        <w:jc w:val="both"/>
        <w:rPr>
          <w:rFonts w:ascii="Cambria" w:hAnsi="Cambria"/>
          <w:b/>
          <w:bCs/>
          <w:color w:val="000000" w:themeColor="text1"/>
        </w:rPr>
      </w:pPr>
      <w:r w:rsidRPr="00504223">
        <w:rPr>
          <w:rFonts w:ascii="Cambria" w:hAnsi="Cambria"/>
          <w:b/>
          <w:bCs/>
          <w:color w:val="000000" w:themeColor="text1"/>
        </w:rPr>
        <w:t>Pengaruh Return on Equity (ROE) terhadap Nilai Perusahaan</w:t>
      </w:r>
    </w:p>
    <w:p w:rsidR="006A0E97" w:rsidRDefault="004562B2" w:rsidP="006A0E97">
      <w:pPr>
        <w:pStyle w:val="pdq2pgselectionanchorcontainer"/>
        <w:spacing w:before="0" w:beforeAutospacing="0" w:after="0" w:afterAutospacing="0"/>
        <w:ind w:firstLine="720"/>
        <w:jc w:val="both"/>
        <w:rPr>
          <w:rFonts w:ascii="Cambria" w:hAnsi="Cambria"/>
          <w:color w:val="000000" w:themeColor="text1"/>
        </w:rPr>
      </w:pPr>
      <w:r w:rsidRPr="00504223">
        <w:rPr>
          <w:rFonts w:ascii="Cambria" w:hAnsi="Cambria"/>
          <w:color w:val="000000" w:themeColor="text1"/>
        </w:rPr>
        <w:t>Return on Equity (ROE) menggambarkan kemampuan perusahaan menghasilkan laba berdasarkan modal yang ditanamkan pemegang saham. Profitabilitas yang tinggi menunjukkan efektivitas pengelolaan sumber daya perusahaan sehingga meningkatkan kepercayaan investor dan memperkuat nilai perusahaan (Brigham &amp; Houston, 2021; Ross et al., 2020; Harmono, 2021; Hidayat &amp; Khotimah, 2022; Indrayani, 2022).</w:t>
      </w:r>
      <w:r w:rsidR="00504223">
        <w:rPr>
          <w:rFonts w:ascii="Cambria" w:hAnsi="Cambria"/>
          <w:color w:val="000000" w:themeColor="text1"/>
          <w:lang w:val="en-US"/>
        </w:rPr>
        <w:t xml:space="preserve"> </w:t>
      </w:r>
      <w:r w:rsidRPr="00504223">
        <w:rPr>
          <w:rFonts w:ascii="Cambria" w:hAnsi="Cambria"/>
          <w:color w:val="000000" w:themeColor="text1"/>
        </w:rPr>
        <w:t>ROE menjadi indikator penting karena menunjukkan efisiensi penggunaan modal sendiri. Investor cenderung memberikan valuasi lebih tinggi kepada perusahaan yang mampu menghasilkan tingkat pengembalian ekuitas yang besar karena dianggap memiliki kemampuan pertumbuhan yang lebih baik (Ross et al., 2020; Harmono, 2021).</w:t>
      </w:r>
    </w:p>
    <w:p w:rsidR="006A0E97" w:rsidRDefault="004562B2" w:rsidP="006A0E97">
      <w:pPr>
        <w:pStyle w:val="pdq2pgselectionanchorcontainer"/>
        <w:spacing w:before="0" w:beforeAutospacing="0" w:after="0" w:afterAutospacing="0"/>
        <w:ind w:firstLine="720"/>
        <w:jc w:val="both"/>
        <w:rPr>
          <w:rFonts w:ascii="Cambria" w:hAnsi="Cambria"/>
          <w:color w:val="000000" w:themeColor="text1"/>
        </w:rPr>
      </w:pPr>
      <w:r w:rsidRPr="00504223">
        <w:rPr>
          <w:rFonts w:ascii="Cambria" w:hAnsi="Cambria"/>
          <w:color w:val="000000" w:themeColor="text1"/>
        </w:rPr>
        <w:t>Hasil penelitian sebelumnya menunjukkan bahwa profitabilitas memiliki hubungan terhadap pembentukan nilai perusahaan. Penelitian Hidayat dan Khotimah (2022), Sahyu (2023), Husain et al. (2023), Romauli et al. (2026), serta Sanusi et al. (2023) menunjukkan bahwa peningkatan efektivitas penggunaan modal berkontribusi terhadap peningkatan nilai perusahaan.</w:t>
      </w:r>
      <w:r w:rsidR="00E178C1" w:rsidRPr="00504223">
        <w:rPr>
          <w:rFonts w:ascii="Cambria" w:hAnsi="Cambria"/>
          <w:color w:val="000000" w:themeColor="text1"/>
          <w:lang w:val="en-US"/>
        </w:rPr>
        <w:t xml:space="preserve"> </w:t>
      </w:r>
      <w:r w:rsidRPr="00504223">
        <w:rPr>
          <w:rFonts w:ascii="Cambria" w:hAnsi="Cambria"/>
          <w:color w:val="000000" w:themeColor="text1"/>
        </w:rPr>
        <w:t>Berdasarkan argumentasi tersebut dirumuskan hipotesis:</w:t>
      </w:r>
    </w:p>
    <w:p w:rsidR="006A0E97" w:rsidRDefault="004562B2" w:rsidP="006A0E97">
      <w:pPr>
        <w:pStyle w:val="pdq2pgselectionanchorcontainer"/>
        <w:spacing w:before="0" w:beforeAutospacing="0" w:after="0" w:afterAutospacing="0"/>
        <w:jc w:val="both"/>
        <w:rPr>
          <w:rStyle w:val="Kuat"/>
          <w:rFonts w:ascii="Cambria" w:hAnsi="Cambria"/>
          <w:b w:val="0"/>
          <w:bCs w:val="0"/>
          <w:color w:val="000000" w:themeColor="text1"/>
          <w:lang w:val="en-US"/>
        </w:rPr>
      </w:pPr>
      <w:r w:rsidRPr="00504223">
        <w:rPr>
          <w:rStyle w:val="Kuat"/>
          <w:rFonts w:ascii="Cambria" w:hAnsi="Cambria"/>
          <w:b w:val="0"/>
          <w:bCs w:val="0"/>
          <w:color w:val="000000" w:themeColor="text1"/>
        </w:rPr>
        <w:t>H3: Return on Equity (ROE) berpengaruh positif terhadap nilai perusahaa</w:t>
      </w:r>
      <w:r w:rsidR="00E178C1" w:rsidRPr="00504223">
        <w:rPr>
          <w:rStyle w:val="Kuat"/>
          <w:rFonts w:ascii="Cambria" w:hAnsi="Cambria"/>
          <w:b w:val="0"/>
          <w:bCs w:val="0"/>
          <w:color w:val="000000" w:themeColor="text1"/>
          <w:lang w:val="en-US"/>
        </w:rPr>
        <w:t>n</w:t>
      </w:r>
    </w:p>
    <w:p w:rsidR="006A0E97" w:rsidRDefault="004562B2" w:rsidP="006A0E97">
      <w:pPr>
        <w:pStyle w:val="pdq2pgselectionanchorcontainer"/>
        <w:spacing w:before="0" w:beforeAutospacing="0" w:after="0" w:afterAutospacing="0"/>
        <w:jc w:val="both"/>
        <w:rPr>
          <w:rFonts w:ascii="Cambria" w:hAnsi="Cambria"/>
          <w:b/>
          <w:bCs/>
          <w:color w:val="000000" w:themeColor="text1"/>
          <w:lang w:val="en-US"/>
        </w:rPr>
      </w:pPr>
      <w:r w:rsidRPr="00504223">
        <w:rPr>
          <w:rFonts w:ascii="Cambria" w:hAnsi="Cambria"/>
          <w:b/>
          <w:bCs/>
          <w:color w:val="000000" w:themeColor="text1"/>
        </w:rPr>
        <w:t>Pengaruh Debt to Equity Ratio (DER), Earnings per Share (EPS), dan Return on Equity (ROE) secara Simultan terhadap Nila</w:t>
      </w:r>
      <w:r w:rsidR="00E178C1" w:rsidRPr="00504223">
        <w:rPr>
          <w:rFonts w:ascii="Cambria" w:hAnsi="Cambria"/>
          <w:b/>
          <w:bCs/>
          <w:color w:val="000000" w:themeColor="text1"/>
          <w:lang w:val="en-US"/>
        </w:rPr>
        <w:t>i</w:t>
      </w:r>
      <w:r w:rsidR="00504223" w:rsidRPr="00504223">
        <w:rPr>
          <w:rFonts w:ascii="Cambria" w:hAnsi="Cambria"/>
          <w:b/>
          <w:bCs/>
          <w:color w:val="000000" w:themeColor="text1"/>
          <w:lang w:val="en-US"/>
        </w:rPr>
        <w:t xml:space="preserve"> Perusahaan</w:t>
      </w:r>
    </w:p>
    <w:p w:rsidR="006A0E97" w:rsidRDefault="00E178C1" w:rsidP="006A0E97">
      <w:pPr>
        <w:pStyle w:val="pdq2pgselectionanchorcontainer"/>
        <w:spacing w:before="0" w:beforeAutospacing="0" w:after="0" w:afterAutospacing="0"/>
        <w:ind w:firstLine="720"/>
        <w:jc w:val="both"/>
        <w:rPr>
          <w:rFonts w:ascii="Cambria" w:hAnsi="Cambria"/>
          <w:color w:val="000000" w:themeColor="text1"/>
        </w:rPr>
      </w:pPr>
      <w:r w:rsidRPr="00504223">
        <w:rPr>
          <w:rFonts w:ascii="Cambria" w:hAnsi="Cambria"/>
          <w:color w:val="000000" w:themeColor="text1"/>
          <w:lang w:val="en-US"/>
        </w:rPr>
        <w:t xml:space="preserve">Nilai </w:t>
      </w:r>
      <w:r w:rsidRPr="00504223">
        <w:rPr>
          <w:rFonts w:ascii="Cambria" w:hAnsi="Cambria"/>
          <w:color w:val="000000" w:themeColor="text1"/>
        </w:rPr>
        <w:t xml:space="preserve">perusahaan merupakan indikator yang mencerminkan persepsi investor terhadap kemampuan perusahaan dalam menciptakan nilai ekonomi dan mempertahankan keberlanjutan bisnis dalam jangka panjang. Dalam perspektif </w:t>
      </w:r>
      <w:r w:rsidRPr="00504223">
        <w:rPr>
          <w:rStyle w:val="Kuat"/>
          <w:rFonts w:ascii="Cambria" w:hAnsi="Cambria"/>
          <w:b w:val="0"/>
          <w:bCs w:val="0"/>
          <w:color w:val="000000" w:themeColor="text1"/>
        </w:rPr>
        <w:t>teori keuangan perusahaan</w:t>
      </w:r>
      <w:r w:rsidRPr="00504223">
        <w:rPr>
          <w:rFonts w:ascii="Cambria" w:hAnsi="Cambria"/>
          <w:color w:val="000000" w:themeColor="text1"/>
        </w:rPr>
        <w:t>, nilai perusahaan tidak hanya dipengaruhi oleh satu indikator keuangan secara individual, tetapi merupakan hasil interaksi berbagai keputusan manajerial yang berkaitan dengan struktur pendanaan, kemampuan menghasilkan laba, dan efektivitas pengelolaan modal perusahaan (Brigham &amp; Houston, 2021; Ross et al., 2020).</w:t>
      </w:r>
    </w:p>
    <w:p w:rsidR="006A0E97" w:rsidRDefault="00E178C1" w:rsidP="006A0E97">
      <w:pPr>
        <w:pStyle w:val="pdq2pgselectionanchorcontainer"/>
        <w:spacing w:before="0" w:beforeAutospacing="0" w:after="0" w:afterAutospacing="0"/>
        <w:ind w:firstLine="720"/>
        <w:jc w:val="both"/>
        <w:rPr>
          <w:rFonts w:ascii="Cambria" w:hAnsi="Cambria"/>
          <w:color w:val="000000" w:themeColor="text1"/>
        </w:rPr>
      </w:pPr>
      <w:r w:rsidRPr="00504223">
        <w:rPr>
          <w:rFonts w:ascii="Cambria" w:hAnsi="Cambria"/>
          <w:color w:val="000000" w:themeColor="text1"/>
        </w:rPr>
        <w:t>Debt to Equity Ratio (DER), Earnings per Share (EPS), dan Return on Equity (ROE) merupakan indikator yang merepresentasikan tiga dimensi penting dalam pengelolaan perusahaan. DER menggambarkan keputusan struktur modal yang menentukan tingkat penggunaan utang terhadap modal sendiri, EPS menunjukkan kemampuan perusahaan menghasilkan laba bagi pemegang saham, sedangkan ROE merefleksikan efektivitas perusahaan dalam mengelola modal untuk menghasilkan keuntungan. Ketiga indikator tersebut secara teoritis saling berhubungan dalam membentuk persepsi investor terhadap prospek perusahaan dan pada akhirnya memengaruhi nilai perusahaan (Harmono, 2021; Kasmir, 2021; Brigham &amp; Houston, 2021).</w:t>
      </w:r>
    </w:p>
    <w:p w:rsidR="006A0E97" w:rsidRDefault="00E178C1" w:rsidP="006A0E97">
      <w:pPr>
        <w:pStyle w:val="pdq2pgselectionanchorcontainer"/>
        <w:spacing w:before="0" w:beforeAutospacing="0" w:after="0" w:afterAutospacing="0"/>
        <w:ind w:firstLine="720"/>
        <w:jc w:val="both"/>
        <w:rPr>
          <w:rFonts w:ascii="Cambria" w:hAnsi="Cambria"/>
          <w:color w:val="000000" w:themeColor="text1"/>
        </w:rPr>
      </w:pPr>
      <w:r w:rsidRPr="00504223">
        <w:rPr>
          <w:rFonts w:ascii="Cambria" w:hAnsi="Cambria"/>
          <w:color w:val="000000" w:themeColor="text1"/>
        </w:rPr>
        <w:t xml:space="preserve">Dalam kerangka </w:t>
      </w:r>
      <w:r w:rsidRPr="00504223">
        <w:rPr>
          <w:rStyle w:val="Kuat"/>
          <w:rFonts w:ascii="Cambria" w:hAnsi="Cambria"/>
          <w:b w:val="0"/>
          <w:bCs w:val="0"/>
          <w:color w:val="000000" w:themeColor="text1"/>
        </w:rPr>
        <w:t>Signaling Theory</w:t>
      </w:r>
      <w:r w:rsidRPr="00504223">
        <w:rPr>
          <w:rFonts w:ascii="Cambria" w:hAnsi="Cambria"/>
          <w:color w:val="000000" w:themeColor="text1"/>
        </w:rPr>
        <w:t xml:space="preserve">, kombinasi antara struktur modal yang sehat dan profitabilitas yang tinggi akan menjadi sinyal positif bagi investor sehingga meningkatkan minat investasi dan mendorong peningkatan harga pasar perusahaan (Ross et al., 2020). Sementara itu, dalam perspektif </w:t>
      </w:r>
      <w:r w:rsidRPr="00504223">
        <w:rPr>
          <w:rStyle w:val="Kuat"/>
          <w:rFonts w:ascii="Cambria" w:hAnsi="Cambria"/>
          <w:b w:val="0"/>
          <w:bCs w:val="0"/>
          <w:color w:val="000000" w:themeColor="text1"/>
        </w:rPr>
        <w:t>Trade-Off Theory</w:t>
      </w:r>
      <w:r w:rsidRPr="00504223">
        <w:rPr>
          <w:rFonts w:ascii="Cambria" w:hAnsi="Cambria"/>
          <w:color w:val="000000" w:themeColor="text1"/>
        </w:rPr>
        <w:t>, perusahaan yang mampu menyeimbangkan penggunaan utang dengan kemampuan menghasilkan laba akan memperoleh struktur keuangan yang optimal dan berpotensi meningkatkan nilai perusahaan (Brigham &amp; Houston, 2021).</w:t>
      </w:r>
    </w:p>
    <w:p w:rsidR="00504223" w:rsidRPr="006A0E97" w:rsidRDefault="00E178C1" w:rsidP="006A0E97">
      <w:pPr>
        <w:pStyle w:val="pdq2pgselectionanchorcontainer"/>
        <w:spacing w:before="0" w:beforeAutospacing="0" w:after="0" w:afterAutospacing="0"/>
        <w:ind w:firstLine="720"/>
        <w:jc w:val="both"/>
        <w:rPr>
          <w:rFonts w:ascii="Cambria" w:hAnsi="Cambria"/>
        </w:rPr>
      </w:pPr>
      <w:r w:rsidRPr="00504223">
        <w:rPr>
          <w:rFonts w:ascii="Cambria" w:hAnsi="Cambria"/>
          <w:color w:val="000000" w:themeColor="text1"/>
        </w:rPr>
        <w:t xml:space="preserve">Temuan empiris juga menunjukkan bahwa pengaruh nilai perusahaan cenderung lebih kuat ketika variabel struktur modal dan profitabilitas dianalisis secara bersama-sama dibandingkan secara parsial. Penelitian Husain et al. (2023) menunjukkan bahwa kombinasi indikator keuangan berpengaruh terhadap pembentukan nilai perusahaan </w:t>
      </w:r>
      <w:r w:rsidRPr="00504223">
        <w:rPr>
          <w:rFonts w:ascii="Cambria" w:hAnsi="Cambria"/>
          <w:color w:val="000000" w:themeColor="text1"/>
        </w:rPr>
        <w:lastRenderedPageBreak/>
        <w:t>pada industri telekomunikasi. Hasil serupa ditemukan oleh Sanusi et al. (2023), Syahputra dan Yuniati (2023), Purwanto dan Agustin (2023), serta Romauli et al. (2026), yang menunjukkan bahwa struktur modal dan indikator profitabilitas secara simultan memberikan kontribusi terhadap peningkatan nilai perusahaan.</w:t>
      </w:r>
      <w:r w:rsidRPr="00504223">
        <w:rPr>
          <w:rFonts w:ascii="Cambria" w:hAnsi="Cambria"/>
          <w:color w:val="000000" w:themeColor="text1"/>
          <w:lang w:val="en-US"/>
        </w:rPr>
        <w:t xml:space="preserve"> </w:t>
      </w:r>
      <w:r w:rsidRPr="00504223">
        <w:rPr>
          <w:rFonts w:ascii="Cambria" w:hAnsi="Cambria"/>
          <w:color w:val="000000" w:themeColor="text1"/>
        </w:rPr>
        <w:t>Berdasarkan argumentasi teoritis dan hasil penelitian terdahulu tersebut, maka dirumuskan hipotesis sebagai berikut:</w:t>
      </w:r>
    </w:p>
    <w:p w:rsidR="00AF3A1E" w:rsidRPr="006A0E97" w:rsidRDefault="00E178C1" w:rsidP="006A0E97">
      <w:pPr>
        <w:pStyle w:val="Judul2"/>
        <w:spacing w:after="240"/>
        <w:jc w:val="both"/>
        <w:rPr>
          <w:rFonts w:ascii="Cambria" w:hAnsi="Cambria"/>
          <w:color w:val="000000" w:themeColor="text1"/>
          <w:sz w:val="24"/>
          <w:szCs w:val="24"/>
        </w:rPr>
      </w:pPr>
      <w:r w:rsidRPr="00504223">
        <w:rPr>
          <w:rStyle w:val="Kuat"/>
          <w:rFonts w:ascii="Cambria" w:hAnsi="Cambria"/>
          <w:b w:val="0"/>
          <w:bCs w:val="0"/>
          <w:color w:val="000000" w:themeColor="text1"/>
          <w:sz w:val="24"/>
          <w:szCs w:val="24"/>
        </w:rPr>
        <w:t>H4: Debt to Equity Ratio (DER), Earnings per Share (EPS), dan Return on Equity (ROE) secara simultan berpengaruh signifikan terhadap nilai perusahaan.</w:t>
      </w:r>
    </w:p>
    <w:p w:rsidR="00E178C1" w:rsidRPr="00504223" w:rsidRDefault="00DA6497" w:rsidP="00504223">
      <w:pPr>
        <w:pBdr>
          <w:top w:val="nil"/>
          <w:left w:val="nil"/>
          <w:bottom w:val="nil"/>
          <w:right w:val="nil"/>
          <w:between w:val="nil"/>
        </w:pBdr>
        <w:jc w:val="both"/>
        <w:rPr>
          <w:rFonts w:ascii="Cambria" w:hAnsi="Cambria"/>
          <w:b/>
          <w:color w:val="000000"/>
        </w:rPr>
      </w:pPr>
      <w:r w:rsidRPr="00504223">
        <w:rPr>
          <w:rFonts w:ascii="Cambria" w:hAnsi="Cambria"/>
          <w:b/>
          <w:color w:val="000000"/>
        </w:rPr>
        <w:t xml:space="preserve">METODE PENELITIAN </w:t>
      </w:r>
    </w:p>
    <w:p w:rsidR="00E178C1" w:rsidRPr="00504223" w:rsidRDefault="007607E2" w:rsidP="00504223">
      <w:pPr>
        <w:pBdr>
          <w:top w:val="nil"/>
          <w:left w:val="nil"/>
          <w:bottom w:val="nil"/>
          <w:right w:val="nil"/>
          <w:between w:val="nil"/>
        </w:pBdr>
        <w:ind w:firstLine="720"/>
        <w:jc w:val="both"/>
        <w:rPr>
          <w:rFonts w:ascii="Cambria" w:hAnsi="Cambria"/>
          <w:b/>
          <w:color w:val="000000"/>
        </w:rPr>
      </w:pPr>
      <w:r w:rsidRPr="00504223">
        <w:rPr>
          <w:rFonts w:ascii="Cambria" w:hAnsi="Cambria"/>
        </w:rPr>
        <w:t xml:space="preserve">Penelitian ini menggunakan pendekatan </w:t>
      </w:r>
      <w:r w:rsidRPr="00504223">
        <w:rPr>
          <w:rStyle w:val="Kuat"/>
          <w:rFonts w:ascii="Cambria" w:hAnsi="Cambria"/>
          <w:b w:val="0"/>
          <w:bCs w:val="0"/>
        </w:rPr>
        <w:t>kuantitatif dengan desain penelitian eksplanatori (</w:t>
      </w:r>
      <w:r w:rsidRPr="00504223">
        <w:rPr>
          <w:rStyle w:val="Penekanan"/>
          <w:rFonts w:ascii="Cambria" w:hAnsi="Cambria"/>
        </w:rPr>
        <w:t>explanatory research</w:t>
      </w:r>
      <w:r w:rsidRPr="00504223">
        <w:rPr>
          <w:rStyle w:val="Kuat"/>
          <w:rFonts w:ascii="Cambria" w:hAnsi="Cambria"/>
          <w:b w:val="0"/>
          <w:bCs w:val="0"/>
        </w:rPr>
        <w:t>)</w:t>
      </w:r>
      <w:r w:rsidRPr="00504223">
        <w:rPr>
          <w:rFonts w:ascii="Cambria" w:hAnsi="Cambria"/>
        </w:rPr>
        <w:t>, yang bertujuan untuk menganalisis hubungan kausal antara variabel independen dan variabel dependen melalui pengujian hipotesis secara empiris. Pendekatan kuantitatif dipilih karena mampu menjelaskan hubungan antarvariabel secara objektif melalui pengukuran numerik dan analisis statistik (Creswell &amp; Creswell, 2018; Sugiyono, 2021).</w:t>
      </w:r>
      <w:r w:rsidR="00504223">
        <w:rPr>
          <w:rFonts w:ascii="Cambria" w:hAnsi="Cambria"/>
          <w:b/>
          <w:color w:val="000000"/>
          <w:lang w:val="en-US"/>
        </w:rPr>
        <w:t xml:space="preserve"> </w:t>
      </w:r>
      <w:r w:rsidRPr="00504223">
        <w:rPr>
          <w:rFonts w:ascii="Cambria" w:hAnsi="Cambria"/>
        </w:rPr>
        <w:t xml:space="preserve">Objek penelitian adalah </w:t>
      </w:r>
      <w:r w:rsidRPr="00504223">
        <w:rPr>
          <w:rStyle w:val="Kuat"/>
          <w:rFonts w:ascii="Cambria" w:eastAsiaTheme="majorEastAsia" w:hAnsi="Cambria"/>
          <w:b w:val="0"/>
          <w:bCs w:val="0"/>
        </w:rPr>
        <w:t>perusahaan sektor telekomunikasi yang terdaftar di Bursa Efek Indonesia (BEI) periode 2022–2024</w:t>
      </w:r>
      <w:r w:rsidRPr="00504223">
        <w:rPr>
          <w:rFonts w:ascii="Cambria" w:hAnsi="Cambria"/>
        </w:rPr>
        <w:t>. Pemilihan sektor telekomunikasi didasarkan pada karakteristik industri yang memiliki intensitas modal tinggi, kebutuhan investasi jangka panjang, serta dinamika pertumbuhan yang dipengaruhi transformasi digital dan perubahan perilaku pasar (Brigham &amp; Houston, 2021).</w:t>
      </w:r>
    </w:p>
    <w:p w:rsidR="00504223" w:rsidRDefault="007607E2" w:rsidP="00504223">
      <w:pPr>
        <w:pBdr>
          <w:top w:val="nil"/>
          <w:left w:val="nil"/>
          <w:bottom w:val="nil"/>
          <w:right w:val="nil"/>
          <w:between w:val="nil"/>
        </w:pBdr>
        <w:ind w:firstLine="720"/>
        <w:jc w:val="both"/>
        <w:rPr>
          <w:rFonts w:ascii="Cambria" w:hAnsi="Cambria"/>
        </w:rPr>
      </w:pPr>
      <w:r w:rsidRPr="00504223">
        <w:rPr>
          <w:rFonts w:ascii="Cambria" w:hAnsi="Cambria"/>
        </w:rPr>
        <w:t xml:space="preserve">Data yang digunakan dalam penelitian ini merupakan </w:t>
      </w:r>
      <w:r w:rsidRPr="00504223">
        <w:rPr>
          <w:rStyle w:val="Kuat"/>
          <w:rFonts w:ascii="Cambria" w:hAnsi="Cambria"/>
          <w:b w:val="0"/>
          <w:bCs w:val="0"/>
        </w:rPr>
        <w:t>data sekunder</w:t>
      </w:r>
      <w:r w:rsidRPr="00504223">
        <w:rPr>
          <w:rFonts w:ascii="Cambria" w:hAnsi="Cambria"/>
        </w:rPr>
        <w:t xml:space="preserve"> yang diperoleh melalui publikasi laporan keuangan tahunan (</w:t>
      </w:r>
      <w:r w:rsidRPr="00504223">
        <w:rPr>
          <w:rStyle w:val="Penekanan"/>
          <w:rFonts w:ascii="Cambria" w:hAnsi="Cambria"/>
        </w:rPr>
        <w:t>annual report</w:t>
      </w:r>
      <w:r w:rsidRPr="00504223">
        <w:rPr>
          <w:rFonts w:ascii="Cambria" w:hAnsi="Cambria"/>
        </w:rPr>
        <w:t>) dan laporan keuangan perusahaan yang tersedia pada situs resmi Bursa Efek Indonesia serta publikasi perusahaan terkait. Penggunaan data sekunder dipilih karena mampu memberikan informasi historis yang terukur dan dapat diuji secara objektif dalam analisis keuangan perusahaan (Sekaran &amp; Bougie, 2016).</w:t>
      </w:r>
      <w:r w:rsidR="00504223">
        <w:rPr>
          <w:rFonts w:ascii="Cambria" w:hAnsi="Cambria"/>
          <w:lang w:val="en-US"/>
        </w:rPr>
        <w:t xml:space="preserve"> </w:t>
      </w:r>
      <w:r w:rsidRPr="00504223">
        <w:rPr>
          <w:rFonts w:ascii="Cambria" w:hAnsi="Cambria"/>
        </w:rPr>
        <w:t xml:space="preserve">Teknik pengambilan sampel dalam penelitian ini menggunakan </w:t>
      </w:r>
      <w:r w:rsidRPr="00504223">
        <w:rPr>
          <w:rStyle w:val="Kuat"/>
          <w:rFonts w:ascii="Cambria" w:eastAsiaTheme="majorEastAsia" w:hAnsi="Cambria"/>
          <w:b w:val="0"/>
          <w:bCs w:val="0"/>
        </w:rPr>
        <w:t>metode sensus (total sampling)</w:t>
      </w:r>
      <w:r w:rsidRPr="00504223">
        <w:rPr>
          <w:rFonts w:ascii="Cambria" w:hAnsi="Cambria"/>
        </w:rPr>
        <w:t xml:space="preserve">, yaitu teknik penentuan sampel dengan menggunakan seluruh anggota populasi sebagai unit analisis penelitian (Sugiyono, 2021). Metode ini dipilih karena jumlah populasi perusahaan sektor telekomunikasi yang memenuhi kriteria penelitian relatif terbatas sehingga seluruh populasi digunakan untuk memperoleh gambaran yang lebih komprehensif dan mengurangi potensi bias pengambilan sampel (Sekaran &amp; Bougie, 2016). Berdasarkan kriteria tersebut diperoleh </w:t>
      </w:r>
      <w:r w:rsidRPr="00504223">
        <w:rPr>
          <w:rStyle w:val="Kuat"/>
          <w:rFonts w:ascii="Cambria" w:eastAsiaTheme="majorEastAsia" w:hAnsi="Cambria"/>
          <w:b w:val="0"/>
          <w:bCs w:val="0"/>
        </w:rPr>
        <w:t>54 unit observasi</w:t>
      </w:r>
      <w:r w:rsidRPr="00504223">
        <w:rPr>
          <w:rFonts w:ascii="Cambria" w:hAnsi="Cambria"/>
        </w:rPr>
        <w:t xml:space="preserve"> selama periode penelitian 2022–2024.</w:t>
      </w:r>
    </w:p>
    <w:p w:rsidR="007607E2" w:rsidRPr="00504223" w:rsidRDefault="007607E2" w:rsidP="00504223">
      <w:pPr>
        <w:pBdr>
          <w:top w:val="nil"/>
          <w:left w:val="nil"/>
          <w:bottom w:val="nil"/>
          <w:right w:val="nil"/>
          <w:between w:val="nil"/>
        </w:pBdr>
        <w:ind w:firstLine="720"/>
        <w:jc w:val="both"/>
        <w:rPr>
          <w:rFonts w:ascii="Cambria" w:hAnsi="Cambria"/>
        </w:rPr>
      </w:pPr>
      <w:r w:rsidRPr="00504223">
        <w:rPr>
          <w:rFonts w:ascii="Cambria" w:hAnsi="Cambria"/>
        </w:rPr>
        <w:t xml:space="preserve">Variabel dependen dalam penelitian ini adalah </w:t>
      </w:r>
      <w:r w:rsidRPr="00504223">
        <w:rPr>
          <w:rStyle w:val="Kuat"/>
          <w:rFonts w:ascii="Cambria" w:eastAsiaTheme="majorEastAsia" w:hAnsi="Cambria"/>
          <w:b w:val="0"/>
          <w:bCs w:val="0"/>
        </w:rPr>
        <w:t>nilai perusahaan</w:t>
      </w:r>
      <w:r w:rsidRPr="00504223">
        <w:rPr>
          <w:rFonts w:ascii="Cambria" w:hAnsi="Cambria"/>
        </w:rPr>
        <w:t xml:space="preserve">, yang diproksikan menggunakan </w:t>
      </w:r>
      <w:r w:rsidRPr="00863F6F">
        <w:rPr>
          <w:rStyle w:val="Kuat"/>
          <w:rFonts w:ascii="Cambria" w:eastAsiaTheme="majorEastAsia" w:hAnsi="Cambria"/>
          <w:b w:val="0"/>
          <w:bCs w:val="0"/>
          <w:i/>
          <w:iCs/>
        </w:rPr>
        <w:t>Price to Book Value</w:t>
      </w:r>
      <w:r w:rsidRPr="00504223">
        <w:rPr>
          <w:rStyle w:val="Kuat"/>
          <w:rFonts w:ascii="Cambria" w:eastAsiaTheme="majorEastAsia" w:hAnsi="Cambria"/>
          <w:b w:val="0"/>
          <w:bCs w:val="0"/>
        </w:rPr>
        <w:t xml:space="preserve"> (PBV)</w:t>
      </w:r>
      <w:r w:rsidRPr="00504223">
        <w:rPr>
          <w:rFonts w:ascii="Cambria" w:hAnsi="Cambria"/>
        </w:rPr>
        <w:t xml:space="preserve"> karena indikator tersebut mampu menggambarkan bagaimana pasar memberikan penilaian terhadap kondisi perusahaan dibandingkan nilai bukunya (Harmono, 2021). Variabel independen terdiri atas </w:t>
      </w:r>
      <w:r w:rsidRPr="00863F6F">
        <w:rPr>
          <w:rStyle w:val="Kuat"/>
          <w:rFonts w:ascii="Cambria" w:eastAsiaTheme="majorEastAsia" w:hAnsi="Cambria"/>
          <w:b w:val="0"/>
          <w:bCs w:val="0"/>
          <w:i/>
          <w:iCs/>
        </w:rPr>
        <w:t>Debt to Equity Ratio</w:t>
      </w:r>
      <w:r w:rsidRPr="00504223">
        <w:rPr>
          <w:rStyle w:val="Kuat"/>
          <w:rFonts w:ascii="Cambria" w:eastAsiaTheme="majorEastAsia" w:hAnsi="Cambria"/>
          <w:b w:val="0"/>
          <w:bCs w:val="0"/>
        </w:rPr>
        <w:t xml:space="preserve"> (DER</w:t>
      </w:r>
      <w:r w:rsidRPr="00863F6F">
        <w:rPr>
          <w:rStyle w:val="Kuat"/>
          <w:rFonts w:ascii="Cambria" w:eastAsiaTheme="majorEastAsia" w:hAnsi="Cambria"/>
          <w:b w:val="0"/>
          <w:bCs w:val="0"/>
        </w:rPr>
        <w:t>)</w:t>
      </w:r>
      <w:r w:rsidRPr="00504223">
        <w:rPr>
          <w:rFonts w:ascii="Cambria" w:hAnsi="Cambria"/>
        </w:rPr>
        <w:t xml:space="preserve"> yang digunakan untuk mengukur struktur modal perusahaan, </w:t>
      </w:r>
      <w:r w:rsidRPr="00863F6F">
        <w:rPr>
          <w:rStyle w:val="Kuat"/>
          <w:rFonts w:ascii="Cambria" w:eastAsiaTheme="majorEastAsia" w:hAnsi="Cambria"/>
          <w:b w:val="0"/>
          <w:bCs w:val="0"/>
          <w:i/>
          <w:iCs/>
        </w:rPr>
        <w:t>Earnings per Share</w:t>
      </w:r>
      <w:r w:rsidRPr="00504223">
        <w:rPr>
          <w:rStyle w:val="Kuat"/>
          <w:rFonts w:ascii="Cambria" w:eastAsiaTheme="majorEastAsia" w:hAnsi="Cambria"/>
          <w:b w:val="0"/>
          <w:bCs w:val="0"/>
        </w:rPr>
        <w:t xml:space="preserve"> (EPS)</w:t>
      </w:r>
      <w:r w:rsidRPr="00504223">
        <w:rPr>
          <w:rFonts w:ascii="Cambria" w:hAnsi="Cambria"/>
        </w:rPr>
        <w:t xml:space="preserve"> yang menggambarkan kemampuan perusahaan menghasilkan laba per saham, serta </w:t>
      </w:r>
      <w:r w:rsidRPr="00863F6F">
        <w:rPr>
          <w:rStyle w:val="Kuat"/>
          <w:rFonts w:ascii="Cambria" w:eastAsiaTheme="majorEastAsia" w:hAnsi="Cambria"/>
          <w:b w:val="0"/>
          <w:bCs w:val="0"/>
          <w:i/>
          <w:iCs/>
        </w:rPr>
        <w:t>Return on Equity</w:t>
      </w:r>
      <w:r w:rsidRPr="00504223">
        <w:rPr>
          <w:rStyle w:val="Kuat"/>
          <w:rFonts w:ascii="Cambria" w:eastAsiaTheme="majorEastAsia" w:hAnsi="Cambria"/>
          <w:b w:val="0"/>
          <w:bCs w:val="0"/>
        </w:rPr>
        <w:t xml:space="preserve"> (ROE)</w:t>
      </w:r>
      <w:r w:rsidRPr="00504223">
        <w:rPr>
          <w:rFonts w:ascii="Cambria" w:hAnsi="Cambria"/>
        </w:rPr>
        <w:t xml:space="preserve"> yang menunjukkan efektivitas penggunaan modal dalam menghasilkan keuntungan (Ross et al., 2020).</w:t>
      </w:r>
      <w:r w:rsidR="00E178C1" w:rsidRPr="00504223">
        <w:rPr>
          <w:rFonts w:ascii="Cambria" w:hAnsi="Cambria"/>
          <w:lang w:val="en-US"/>
        </w:rPr>
        <w:t xml:space="preserve"> </w:t>
      </w:r>
      <w:r w:rsidRPr="00504223">
        <w:rPr>
          <w:rFonts w:ascii="Cambria" w:hAnsi="Cambria"/>
        </w:rPr>
        <w:t>Operasionalisasi variabel dijelaskan sebagai berikut:</w:t>
      </w:r>
    </w:p>
    <w:p w:rsidR="007607E2" w:rsidRPr="00AF3A1E" w:rsidRDefault="00E178C1" w:rsidP="00504223">
      <w:pPr>
        <w:pStyle w:val="Judul3"/>
        <w:jc w:val="center"/>
        <w:rPr>
          <w:rFonts w:ascii="Cambria" w:hAnsi="Cambria"/>
          <w:b/>
          <w:bCs/>
          <w:color w:val="000000" w:themeColor="text1"/>
        </w:rPr>
      </w:pPr>
      <w:r w:rsidRPr="00AF3A1E">
        <w:rPr>
          <w:rFonts w:ascii="Cambria" w:hAnsi="Cambria"/>
          <w:b/>
          <w:bCs/>
          <w:color w:val="000000" w:themeColor="text1"/>
          <w:lang w:val="en-US"/>
        </w:rPr>
        <w:t xml:space="preserve">Tabel 2. </w:t>
      </w:r>
      <w:r w:rsidR="007607E2" w:rsidRPr="00AF3A1E">
        <w:rPr>
          <w:rFonts w:ascii="Cambria" w:hAnsi="Cambria"/>
          <w:b/>
          <w:bCs/>
          <w:color w:val="000000" w:themeColor="text1"/>
        </w:rPr>
        <w:t>Tabel Operasional Variabel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33"/>
        <w:gridCol w:w="2760"/>
        <w:gridCol w:w="3878"/>
      </w:tblGrid>
      <w:tr w:rsidR="007607E2" w:rsidRPr="00AF3A1E" w:rsidTr="00363F86">
        <w:trPr>
          <w:tblHeader/>
          <w:tblCellSpacing w:w="15" w:type="dxa"/>
        </w:trPr>
        <w:tc>
          <w:tcPr>
            <w:tcW w:w="1314" w:type="pct"/>
            <w:tcBorders>
              <w:top w:val="single" w:sz="4" w:space="0" w:color="auto"/>
              <w:bottom w:val="single" w:sz="4" w:space="0" w:color="auto"/>
            </w:tcBorders>
            <w:vAlign w:val="center"/>
            <w:hideMark/>
          </w:tcPr>
          <w:p w:rsidR="007607E2" w:rsidRPr="00AF3A1E" w:rsidRDefault="007607E2" w:rsidP="00504223">
            <w:pPr>
              <w:jc w:val="center"/>
              <w:rPr>
                <w:rFonts w:ascii="Cambria" w:hAnsi="Cambria"/>
                <w:b/>
                <w:bCs/>
                <w:sz w:val="22"/>
                <w:szCs w:val="22"/>
              </w:rPr>
            </w:pPr>
            <w:r w:rsidRPr="00AF3A1E">
              <w:rPr>
                <w:rFonts w:ascii="Cambria" w:hAnsi="Cambria"/>
                <w:b/>
                <w:bCs/>
                <w:sz w:val="22"/>
                <w:szCs w:val="22"/>
              </w:rPr>
              <w:t>Variabel</w:t>
            </w:r>
          </w:p>
        </w:tc>
        <w:tc>
          <w:tcPr>
            <w:tcW w:w="1502" w:type="pct"/>
            <w:tcBorders>
              <w:top w:val="single" w:sz="4" w:space="0" w:color="auto"/>
              <w:bottom w:val="single" w:sz="4" w:space="0" w:color="auto"/>
            </w:tcBorders>
            <w:vAlign w:val="center"/>
            <w:hideMark/>
          </w:tcPr>
          <w:p w:rsidR="007607E2" w:rsidRPr="00AF3A1E" w:rsidRDefault="007607E2" w:rsidP="00504223">
            <w:pPr>
              <w:jc w:val="center"/>
              <w:rPr>
                <w:rFonts w:ascii="Cambria" w:hAnsi="Cambria"/>
                <w:b/>
                <w:bCs/>
                <w:sz w:val="22"/>
                <w:szCs w:val="22"/>
              </w:rPr>
            </w:pPr>
            <w:r w:rsidRPr="00AF3A1E">
              <w:rPr>
                <w:rFonts w:ascii="Cambria" w:hAnsi="Cambria"/>
                <w:b/>
                <w:bCs/>
                <w:sz w:val="22"/>
                <w:szCs w:val="22"/>
              </w:rPr>
              <w:t>Indikator</w:t>
            </w:r>
          </w:p>
        </w:tc>
        <w:tc>
          <w:tcPr>
            <w:tcW w:w="2108" w:type="pct"/>
            <w:tcBorders>
              <w:top w:val="single" w:sz="4" w:space="0" w:color="auto"/>
              <w:bottom w:val="single" w:sz="4" w:space="0" w:color="auto"/>
            </w:tcBorders>
            <w:vAlign w:val="center"/>
            <w:hideMark/>
          </w:tcPr>
          <w:p w:rsidR="007607E2" w:rsidRPr="00AF3A1E" w:rsidRDefault="007607E2" w:rsidP="00504223">
            <w:pPr>
              <w:jc w:val="center"/>
              <w:rPr>
                <w:rFonts w:ascii="Cambria" w:hAnsi="Cambria"/>
                <w:b/>
                <w:bCs/>
                <w:sz w:val="22"/>
                <w:szCs w:val="22"/>
              </w:rPr>
            </w:pPr>
            <w:r w:rsidRPr="00AF3A1E">
              <w:rPr>
                <w:rFonts w:ascii="Cambria" w:hAnsi="Cambria"/>
                <w:b/>
                <w:bCs/>
                <w:sz w:val="22"/>
                <w:szCs w:val="22"/>
              </w:rPr>
              <w:t>Rumus</w:t>
            </w:r>
          </w:p>
        </w:tc>
      </w:tr>
      <w:tr w:rsidR="007607E2" w:rsidRPr="00AF3A1E" w:rsidTr="00363F86">
        <w:trPr>
          <w:tblCellSpacing w:w="15" w:type="dxa"/>
        </w:trPr>
        <w:tc>
          <w:tcPr>
            <w:tcW w:w="1314"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Nilai Perusahaan (Y)</w:t>
            </w:r>
          </w:p>
        </w:tc>
        <w:tc>
          <w:tcPr>
            <w:tcW w:w="1502"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Price to Book Value</w:t>
            </w:r>
          </w:p>
        </w:tc>
        <w:tc>
          <w:tcPr>
            <w:tcW w:w="2108"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PBV = Harga Saham / Nilai Buku</w:t>
            </w:r>
          </w:p>
        </w:tc>
      </w:tr>
      <w:tr w:rsidR="007607E2" w:rsidRPr="00AF3A1E" w:rsidTr="00363F86">
        <w:trPr>
          <w:tblCellSpacing w:w="15" w:type="dxa"/>
        </w:trPr>
        <w:tc>
          <w:tcPr>
            <w:tcW w:w="1314"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DER (X1)</w:t>
            </w:r>
          </w:p>
        </w:tc>
        <w:tc>
          <w:tcPr>
            <w:tcW w:w="1502"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Struktur Modal</w:t>
            </w:r>
          </w:p>
        </w:tc>
        <w:tc>
          <w:tcPr>
            <w:tcW w:w="2108"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Total Utang / Total Ekuitas</w:t>
            </w:r>
          </w:p>
        </w:tc>
      </w:tr>
      <w:tr w:rsidR="007607E2" w:rsidRPr="00AF3A1E" w:rsidTr="00363F86">
        <w:trPr>
          <w:tblCellSpacing w:w="15" w:type="dxa"/>
        </w:trPr>
        <w:tc>
          <w:tcPr>
            <w:tcW w:w="1314"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EPS (X2)</w:t>
            </w:r>
          </w:p>
        </w:tc>
        <w:tc>
          <w:tcPr>
            <w:tcW w:w="1502"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Profitabilitas per Saham</w:t>
            </w:r>
          </w:p>
        </w:tc>
        <w:tc>
          <w:tcPr>
            <w:tcW w:w="2108" w:type="pct"/>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Laba Bersih / Jumlah Saham</w:t>
            </w:r>
          </w:p>
        </w:tc>
      </w:tr>
      <w:tr w:rsidR="007607E2" w:rsidRPr="00AF3A1E" w:rsidTr="00363F86">
        <w:trPr>
          <w:tblCellSpacing w:w="15" w:type="dxa"/>
        </w:trPr>
        <w:tc>
          <w:tcPr>
            <w:tcW w:w="1314" w:type="pct"/>
            <w:tcBorders>
              <w:bottom w:val="single" w:sz="4" w:space="0" w:color="auto"/>
            </w:tcBorders>
            <w:vAlign w:val="center"/>
            <w:hideMark/>
          </w:tcPr>
          <w:p w:rsidR="007607E2" w:rsidRPr="00AF3A1E" w:rsidRDefault="007607E2" w:rsidP="00504223">
            <w:pPr>
              <w:rPr>
                <w:rFonts w:ascii="Cambria" w:hAnsi="Cambria"/>
                <w:sz w:val="22"/>
                <w:szCs w:val="22"/>
              </w:rPr>
            </w:pPr>
            <w:r w:rsidRPr="00AF3A1E">
              <w:rPr>
                <w:rFonts w:ascii="Cambria" w:hAnsi="Cambria"/>
                <w:sz w:val="22"/>
                <w:szCs w:val="22"/>
              </w:rPr>
              <w:lastRenderedPageBreak/>
              <w:t>ROE (X3)</w:t>
            </w:r>
          </w:p>
        </w:tc>
        <w:tc>
          <w:tcPr>
            <w:tcW w:w="1502" w:type="pct"/>
            <w:tcBorders>
              <w:bottom w:val="single" w:sz="4" w:space="0" w:color="auto"/>
            </w:tcBorders>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Pengembalian Ekuitas</w:t>
            </w:r>
          </w:p>
        </w:tc>
        <w:tc>
          <w:tcPr>
            <w:tcW w:w="2108" w:type="pct"/>
            <w:tcBorders>
              <w:bottom w:val="single" w:sz="4" w:space="0" w:color="auto"/>
            </w:tcBorders>
            <w:vAlign w:val="center"/>
            <w:hideMark/>
          </w:tcPr>
          <w:p w:rsidR="007607E2" w:rsidRPr="00AF3A1E" w:rsidRDefault="007607E2" w:rsidP="00504223">
            <w:pPr>
              <w:rPr>
                <w:rFonts w:ascii="Cambria" w:hAnsi="Cambria"/>
                <w:sz w:val="22"/>
                <w:szCs w:val="22"/>
              </w:rPr>
            </w:pPr>
            <w:r w:rsidRPr="00AF3A1E">
              <w:rPr>
                <w:rFonts w:ascii="Cambria" w:hAnsi="Cambria"/>
                <w:sz w:val="22"/>
                <w:szCs w:val="22"/>
              </w:rPr>
              <w:t>Laba Bersih / Total Ekuitas</w:t>
            </w:r>
          </w:p>
        </w:tc>
      </w:tr>
    </w:tbl>
    <w:p w:rsidR="00E178C1" w:rsidRPr="00504223" w:rsidRDefault="007607E2" w:rsidP="00AF3A1E">
      <w:pPr>
        <w:pStyle w:val="NormalWeb"/>
        <w:spacing w:before="0" w:beforeAutospacing="0" w:after="0" w:afterAutospacing="0"/>
        <w:ind w:firstLine="720"/>
        <w:jc w:val="both"/>
        <w:rPr>
          <w:rFonts w:ascii="Cambria" w:hAnsi="Cambria" w:cstheme="minorHAnsi"/>
          <w:spacing w:val="-2"/>
          <w:lang w:val="en-US"/>
        </w:rPr>
      </w:pPr>
      <w:r w:rsidRPr="00504223">
        <w:rPr>
          <w:rFonts w:ascii="Cambria" w:hAnsi="Cambria"/>
        </w:rPr>
        <w:t xml:space="preserve">Analisis data dilakukan menggunakan </w:t>
      </w:r>
      <w:r w:rsidRPr="00504223">
        <w:rPr>
          <w:rStyle w:val="Kuat"/>
          <w:rFonts w:ascii="Cambria" w:hAnsi="Cambria"/>
          <w:b w:val="0"/>
          <w:bCs w:val="0"/>
        </w:rPr>
        <w:t>analisis regresi linear berganda</w:t>
      </w:r>
      <w:r w:rsidRPr="00504223">
        <w:rPr>
          <w:rFonts w:ascii="Cambria" w:hAnsi="Cambria"/>
        </w:rPr>
        <w:t xml:space="preserve"> karena penelitian ini menguji pengaruh lebih dari satu variabel independen terhadap satu variabel dependen (Gujarati &amp; Porter, 2009).</w:t>
      </w:r>
      <w:r w:rsidR="00E178C1" w:rsidRPr="00504223">
        <w:rPr>
          <w:rFonts w:ascii="Cambria" w:hAnsi="Cambria"/>
          <w:lang w:val="en-US"/>
        </w:rPr>
        <w:t xml:space="preserve"> </w:t>
      </w:r>
      <w:r w:rsidR="00DA6497" w:rsidRPr="00504223">
        <w:rPr>
          <w:rFonts w:ascii="Cambria" w:hAnsi="Cambria" w:cstheme="minorHAnsi"/>
        </w:rPr>
        <w:t>Metode</w:t>
      </w:r>
      <w:r w:rsidR="00DA6497" w:rsidRPr="00504223">
        <w:rPr>
          <w:rFonts w:ascii="Cambria" w:hAnsi="Cambria" w:cstheme="minorHAnsi"/>
          <w:spacing w:val="-10"/>
        </w:rPr>
        <w:t xml:space="preserve"> </w:t>
      </w:r>
      <w:r w:rsidR="00DA6497" w:rsidRPr="00504223">
        <w:rPr>
          <w:rFonts w:ascii="Cambria" w:hAnsi="Cambria" w:cstheme="minorHAnsi"/>
        </w:rPr>
        <w:t>analisis</w:t>
      </w:r>
      <w:r w:rsidR="00DA6497" w:rsidRPr="00504223">
        <w:rPr>
          <w:rFonts w:ascii="Cambria" w:hAnsi="Cambria" w:cstheme="minorHAnsi"/>
          <w:spacing w:val="-11"/>
        </w:rPr>
        <w:t xml:space="preserve"> </w:t>
      </w:r>
      <w:r w:rsidR="00DA6497" w:rsidRPr="00504223">
        <w:rPr>
          <w:rFonts w:ascii="Cambria" w:hAnsi="Cambria" w:cstheme="minorHAnsi"/>
        </w:rPr>
        <w:t>data</w:t>
      </w:r>
      <w:r w:rsidR="00DA6497" w:rsidRPr="00504223">
        <w:rPr>
          <w:rFonts w:ascii="Cambria" w:hAnsi="Cambria" w:cstheme="minorHAnsi"/>
          <w:spacing w:val="-11"/>
        </w:rPr>
        <w:t xml:space="preserve"> </w:t>
      </w:r>
      <w:r w:rsidR="00DA6497" w:rsidRPr="00504223">
        <w:rPr>
          <w:rFonts w:ascii="Cambria" w:hAnsi="Cambria" w:cstheme="minorHAnsi"/>
        </w:rPr>
        <w:t>yang</w:t>
      </w:r>
      <w:r w:rsidR="00DA6497" w:rsidRPr="00504223">
        <w:rPr>
          <w:rFonts w:ascii="Cambria" w:hAnsi="Cambria" w:cstheme="minorHAnsi"/>
          <w:spacing w:val="-9"/>
        </w:rPr>
        <w:t xml:space="preserve"> </w:t>
      </w:r>
      <w:r w:rsidR="00DA6497" w:rsidRPr="00504223">
        <w:rPr>
          <w:rFonts w:ascii="Cambria" w:hAnsi="Cambria" w:cstheme="minorHAnsi"/>
        </w:rPr>
        <w:t>digunakan</w:t>
      </w:r>
      <w:r w:rsidR="00DA6497" w:rsidRPr="00504223">
        <w:rPr>
          <w:rFonts w:ascii="Cambria" w:hAnsi="Cambria" w:cstheme="minorHAnsi"/>
          <w:spacing w:val="-9"/>
        </w:rPr>
        <w:t xml:space="preserve"> </w:t>
      </w:r>
      <w:r w:rsidR="00DA6497" w:rsidRPr="00504223">
        <w:rPr>
          <w:rFonts w:ascii="Cambria" w:hAnsi="Cambria" w:cstheme="minorHAnsi"/>
        </w:rPr>
        <w:t>pada</w:t>
      </w:r>
      <w:r w:rsidR="00DA6497" w:rsidRPr="00504223">
        <w:rPr>
          <w:rFonts w:ascii="Cambria" w:hAnsi="Cambria" w:cstheme="minorHAnsi"/>
          <w:spacing w:val="-10"/>
        </w:rPr>
        <w:t xml:space="preserve"> </w:t>
      </w:r>
      <w:r w:rsidR="00DA6497" w:rsidRPr="00504223">
        <w:rPr>
          <w:rFonts w:ascii="Cambria" w:hAnsi="Cambria" w:cstheme="minorHAnsi"/>
        </w:rPr>
        <w:t>penelitian</w:t>
      </w:r>
      <w:r w:rsidR="00DA6497" w:rsidRPr="00504223">
        <w:rPr>
          <w:rFonts w:ascii="Cambria" w:hAnsi="Cambria" w:cstheme="minorHAnsi"/>
          <w:spacing w:val="-12"/>
        </w:rPr>
        <w:t xml:space="preserve"> </w:t>
      </w:r>
      <w:r w:rsidR="00DA6497" w:rsidRPr="00504223">
        <w:rPr>
          <w:rFonts w:ascii="Cambria" w:hAnsi="Cambria" w:cstheme="minorHAnsi"/>
        </w:rPr>
        <w:t>ini</w:t>
      </w:r>
      <w:r w:rsidR="00DA6497" w:rsidRPr="00504223">
        <w:rPr>
          <w:rFonts w:ascii="Cambria" w:hAnsi="Cambria" w:cstheme="minorHAnsi"/>
          <w:spacing w:val="-11"/>
        </w:rPr>
        <w:t xml:space="preserve"> </w:t>
      </w:r>
      <w:r w:rsidR="00DA6497" w:rsidRPr="00504223">
        <w:rPr>
          <w:rFonts w:ascii="Cambria" w:hAnsi="Cambria" w:cstheme="minorHAnsi"/>
        </w:rPr>
        <w:t>adalah</w:t>
      </w:r>
      <w:r w:rsidR="00DA6497" w:rsidRPr="00504223">
        <w:rPr>
          <w:rFonts w:ascii="Cambria" w:hAnsi="Cambria" w:cstheme="minorHAnsi"/>
          <w:spacing w:val="-9"/>
        </w:rPr>
        <w:t xml:space="preserve"> </w:t>
      </w:r>
      <w:r w:rsidR="00DA6497" w:rsidRPr="00504223">
        <w:rPr>
          <w:rFonts w:ascii="Cambria" w:hAnsi="Cambria" w:cstheme="minorHAnsi"/>
        </w:rPr>
        <w:t>analisis</w:t>
      </w:r>
      <w:r w:rsidR="00DA6497" w:rsidRPr="00504223">
        <w:rPr>
          <w:rFonts w:ascii="Cambria" w:hAnsi="Cambria" w:cstheme="minorHAnsi"/>
          <w:spacing w:val="-11"/>
        </w:rPr>
        <w:t xml:space="preserve"> </w:t>
      </w:r>
      <w:r w:rsidR="00DA6497" w:rsidRPr="00504223">
        <w:rPr>
          <w:rFonts w:ascii="Cambria" w:hAnsi="Cambria" w:cstheme="minorHAnsi"/>
        </w:rPr>
        <w:t>regresi</w:t>
      </w:r>
      <w:r w:rsidR="00DA6497" w:rsidRPr="00504223">
        <w:rPr>
          <w:rFonts w:ascii="Cambria" w:hAnsi="Cambria" w:cstheme="minorHAnsi"/>
          <w:spacing w:val="-12"/>
        </w:rPr>
        <w:t xml:space="preserve"> </w:t>
      </w:r>
      <w:r w:rsidR="00DA6497" w:rsidRPr="00504223">
        <w:rPr>
          <w:rFonts w:ascii="Cambria" w:hAnsi="Cambria" w:cstheme="minorHAnsi"/>
        </w:rPr>
        <w:t>linier</w:t>
      </w:r>
      <w:r w:rsidR="00DA6497" w:rsidRPr="00504223">
        <w:rPr>
          <w:rFonts w:ascii="Cambria" w:hAnsi="Cambria" w:cstheme="minorHAnsi"/>
          <w:spacing w:val="-13"/>
        </w:rPr>
        <w:t xml:space="preserve"> </w:t>
      </w:r>
      <w:r w:rsidR="00DA6497" w:rsidRPr="00504223">
        <w:rPr>
          <w:rFonts w:ascii="Cambria" w:hAnsi="Cambria" w:cstheme="minorHAnsi"/>
        </w:rPr>
        <w:t>berganda (Multiple Regression Analysis)</w:t>
      </w:r>
      <w:r w:rsidR="00DA6497" w:rsidRPr="00504223">
        <w:rPr>
          <w:rFonts w:ascii="Cambria" w:hAnsi="Cambria" w:cstheme="minorHAnsi"/>
          <w:lang w:val="en-US"/>
        </w:rPr>
        <w:t xml:space="preserve">. </w:t>
      </w:r>
      <w:r w:rsidR="00DA6497" w:rsidRPr="00504223">
        <w:rPr>
          <w:rFonts w:ascii="Cambria" w:hAnsi="Cambria" w:cstheme="minorHAnsi"/>
        </w:rPr>
        <w:t>Persamaan</w:t>
      </w:r>
      <w:r w:rsidR="00DA6497" w:rsidRPr="00504223">
        <w:rPr>
          <w:rFonts w:ascii="Cambria" w:hAnsi="Cambria" w:cstheme="minorHAnsi"/>
          <w:spacing w:val="-4"/>
        </w:rPr>
        <w:t xml:space="preserve"> </w:t>
      </w:r>
      <w:r w:rsidR="00DA6497" w:rsidRPr="00504223">
        <w:rPr>
          <w:rFonts w:ascii="Cambria" w:hAnsi="Cambria" w:cstheme="minorHAnsi"/>
        </w:rPr>
        <w:t>regresi</w:t>
      </w:r>
      <w:r w:rsidR="00DA6497" w:rsidRPr="00504223">
        <w:rPr>
          <w:rFonts w:ascii="Cambria" w:hAnsi="Cambria" w:cstheme="minorHAnsi"/>
          <w:spacing w:val="-6"/>
        </w:rPr>
        <w:t xml:space="preserve"> </w:t>
      </w:r>
      <w:r w:rsidR="00DA6497" w:rsidRPr="00504223">
        <w:rPr>
          <w:rFonts w:ascii="Cambria" w:hAnsi="Cambria" w:cstheme="minorHAnsi"/>
          <w:spacing w:val="-2"/>
        </w:rPr>
        <w:t>pertama</w:t>
      </w:r>
      <w:r w:rsidR="00DA6497" w:rsidRPr="00504223">
        <w:rPr>
          <w:rFonts w:ascii="Cambria" w:hAnsi="Cambria" w:cstheme="minorHAnsi"/>
          <w:spacing w:val="-2"/>
          <w:lang w:val="en-US"/>
        </w:rPr>
        <w:t xml:space="preserve"> adalah:</w:t>
      </w:r>
    </w:p>
    <w:p w:rsidR="00DA6497" w:rsidRPr="00863F6F" w:rsidRDefault="007607E2" w:rsidP="00AF3A1E">
      <w:pPr>
        <w:pStyle w:val="NormalWeb"/>
        <w:spacing w:before="0" w:beforeAutospacing="0" w:after="0" w:afterAutospacing="0"/>
        <w:ind w:firstLine="720"/>
        <w:jc w:val="center"/>
        <w:rPr>
          <w:rFonts w:ascii="Cambria" w:hAnsi="Cambria"/>
          <w:iCs/>
        </w:rPr>
      </w:pPr>
      <w:r w:rsidRPr="00863F6F">
        <w:rPr>
          <w:rFonts w:ascii="Cambria" w:hAnsi="Cambria" w:cstheme="minorHAnsi"/>
          <w:iCs/>
          <w:lang w:val="en-US"/>
        </w:rPr>
        <w:t>PBV</w:t>
      </w:r>
      <w:r w:rsidR="00DA6497" w:rsidRPr="00863F6F">
        <w:rPr>
          <w:rFonts w:ascii="Cambria" w:hAnsi="Cambria" w:cstheme="minorHAnsi"/>
          <w:iCs/>
        </w:rPr>
        <w:t xml:space="preserve"> = α + b</w:t>
      </w:r>
      <w:r w:rsidRPr="00863F6F">
        <w:rPr>
          <w:rFonts w:ascii="Cambria" w:hAnsi="Cambria" w:cstheme="minorHAnsi"/>
          <w:iCs/>
          <w:lang w:val="en-US"/>
        </w:rPr>
        <w:t>1 DER</w:t>
      </w:r>
      <w:r w:rsidR="00DA6497" w:rsidRPr="00863F6F">
        <w:rPr>
          <w:rFonts w:ascii="Cambria" w:hAnsi="Cambria" w:cstheme="minorHAnsi"/>
          <w:iCs/>
        </w:rPr>
        <w:t>+ b2</w:t>
      </w:r>
      <w:r w:rsidRPr="00863F6F">
        <w:rPr>
          <w:rFonts w:ascii="Cambria" w:hAnsi="Cambria" w:cstheme="minorHAnsi"/>
          <w:iCs/>
          <w:lang w:val="en-US"/>
        </w:rPr>
        <w:t xml:space="preserve"> EPS</w:t>
      </w:r>
      <w:r w:rsidR="00DA6497" w:rsidRPr="00863F6F">
        <w:rPr>
          <w:rFonts w:ascii="Cambria" w:hAnsi="Cambria" w:cstheme="minorHAnsi"/>
          <w:iCs/>
        </w:rPr>
        <w:t xml:space="preserve"> +b3</w:t>
      </w:r>
      <w:r w:rsidRPr="00863F6F">
        <w:rPr>
          <w:rFonts w:ascii="Cambria" w:hAnsi="Cambria" w:cstheme="minorHAnsi"/>
          <w:iCs/>
          <w:lang w:val="en-US"/>
        </w:rPr>
        <w:t xml:space="preserve"> ROE</w:t>
      </w:r>
      <w:r w:rsidR="00DA6497" w:rsidRPr="00863F6F">
        <w:rPr>
          <w:rFonts w:ascii="Cambria" w:hAnsi="Cambria" w:cstheme="minorHAnsi"/>
          <w:iCs/>
        </w:rPr>
        <w:t xml:space="preserve"> +e</w:t>
      </w:r>
    </w:p>
    <w:p w:rsidR="00DA6497" w:rsidRPr="00504223" w:rsidRDefault="00DA6497" w:rsidP="00504223">
      <w:pPr>
        <w:pStyle w:val="TidakAdaSpasi"/>
        <w:rPr>
          <w:rFonts w:ascii="Cambria" w:hAnsi="Cambria" w:cstheme="minorHAnsi"/>
          <w:i/>
        </w:rPr>
      </w:pPr>
      <w:r w:rsidRPr="00504223">
        <w:rPr>
          <w:rFonts w:ascii="Cambria" w:hAnsi="Cambria" w:cstheme="minorHAnsi"/>
          <w:i/>
        </w:rPr>
        <w:t>Keterangan :</w:t>
      </w:r>
    </w:p>
    <w:p w:rsidR="00DA6497" w:rsidRPr="00863F6F" w:rsidRDefault="00DA6497" w:rsidP="00504223">
      <w:pPr>
        <w:pStyle w:val="TidakAdaSpasi"/>
        <w:rPr>
          <w:rFonts w:ascii="Cambria" w:hAnsi="Cambria" w:cstheme="minorHAnsi"/>
          <w:iCs/>
        </w:rPr>
      </w:pPr>
      <w:r w:rsidRPr="00863F6F">
        <w:rPr>
          <w:rFonts w:ascii="Cambria" w:hAnsi="Cambria" w:cstheme="minorHAnsi"/>
          <w:iCs/>
        </w:rPr>
        <w:t>Y</w:t>
      </w:r>
      <w:r w:rsidRPr="00863F6F">
        <w:rPr>
          <w:rFonts w:ascii="Cambria" w:hAnsi="Cambria" w:cstheme="minorHAnsi"/>
          <w:iCs/>
        </w:rPr>
        <w:tab/>
      </w:r>
      <w:r w:rsidRPr="00504223">
        <w:rPr>
          <w:rFonts w:ascii="Cambria" w:hAnsi="Cambria" w:cstheme="minorHAnsi"/>
          <w:i/>
        </w:rPr>
        <w:tab/>
        <w:t xml:space="preserve">= </w:t>
      </w:r>
      <w:r w:rsidRPr="00863F6F">
        <w:rPr>
          <w:rFonts w:ascii="Cambria" w:hAnsi="Cambria" w:cstheme="minorHAnsi"/>
          <w:iCs/>
        </w:rPr>
        <w:t>Nilai perusahaan (PBV)</w:t>
      </w:r>
    </w:p>
    <w:p w:rsidR="00DA6497" w:rsidRPr="00863F6F" w:rsidRDefault="00DA6497" w:rsidP="00504223">
      <w:pPr>
        <w:pStyle w:val="TidakAdaSpasi"/>
        <w:rPr>
          <w:rFonts w:ascii="Cambria" w:hAnsi="Cambria" w:cstheme="minorHAnsi"/>
          <w:iCs/>
        </w:rPr>
      </w:pPr>
      <w:r w:rsidRPr="00863F6F">
        <w:rPr>
          <w:rFonts w:ascii="Cambria" w:hAnsi="Cambria" w:cstheme="minorHAnsi"/>
          <w:iCs/>
        </w:rPr>
        <w:t>α</w:t>
      </w:r>
      <w:r w:rsidRPr="00863F6F">
        <w:rPr>
          <w:rFonts w:ascii="Cambria" w:hAnsi="Cambria" w:cstheme="minorHAnsi"/>
          <w:iCs/>
        </w:rPr>
        <w:tab/>
      </w:r>
      <w:r w:rsidRPr="00863F6F">
        <w:rPr>
          <w:rFonts w:ascii="Cambria" w:hAnsi="Cambria" w:cstheme="minorHAnsi"/>
          <w:iCs/>
        </w:rPr>
        <w:tab/>
        <w:t xml:space="preserve">= Konstanta </w:t>
      </w:r>
    </w:p>
    <w:p w:rsidR="00DA6497" w:rsidRPr="00863F6F" w:rsidRDefault="00DA6497" w:rsidP="00504223">
      <w:pPr>
        <w:pStyle w:val="TidakAdaSpasi"/>
        <w:rPr>
          <w:rFonts w:ascii="Cambria" w:hAnsi="Cambria" w:cstheme="minorHAnsi"/>
          <w:iCs/>
        </w:rPr>
      </w:pPr>
      <w:r w:rsidRPr="00863F6F">
        <w:rPr>
          <w:rFonts w:ascii="Cambria" w:hAnsi="Cambria" w:cstheme="minorHAnsi"/>
          <w:iCs/>
        </w:rPr>
        <w:t>X1</w:t>
      </w:r>
      <w:r w:rsidRPr="00863F6F">
        <w:rPr>
          <w:rFonts w:ascii="Cambria" w:hAnsi="Cambria" w:cstheme="minorHAnsi"/>
          <w:iCs/>
        </w:rPr>
        <w:tab/>
      </w:r>
      <w:r w:rsidRPr="00863F6F">
        <w:rPr>
          <w:rFonts w:ascii="Cambria" w:hAnsi="Cambria" w:cstheme="minorHAnsi"/>
          <w:iCs/>
        </w:rPr>
        <w:tab/>
        <w:t xml:space="preserve">= </w:t>
      </w:r>
      <w:r w:rsidRPr="00863F6F">
        <w:rPr>
          <w:rFonts w:ascii="Cambria" w:hAnsi="Cambria" w:cstheme="minorHAnsi"/>
          <w:i/>
        </w:rPr>
        <w:t>Debt To Equity Ratio</w:t>
      </w:r>
    </w:p>
    <w:p w:rsidR="00DA6497" w:rsidRPr="00863F6F" w:rsidRDefault="00DA6497" w:rsidP="00504223">
      <w:pPr>
        <w:pStyle w:val="TidakAdaSpasi"/>
        <w:rPr>
          <w:rFonts w:ascii="Cambria" w:hAnsi="Cambria" w:cstheme="minorHAnsi"/>
          <w:iCs/>
        </w:rPr>
      </w:pPr>
      <w:r w:rsidRPr="00863F6F">
        <w:rPr>
          <w:rFonts w:ascii="Cambria" w:hAnsi="Cambria" w:cstheme="minorHAnsi"/>
          <w:iCs/>
        </w:rPr>
        <w:t>X2</w:t>
      </w:r>
      <w:r w:rsidRPr="00863F6F">
        <w:rPr>
          <w:rFonts w:ascii="Cambria" w:hAnsi="Cambria" w:cstheme="minorHAnsi"/>
          <w:iCs/>
        </w:rPr>
        <w:tab/>
      </w:r>
      <w:r w:rsidRPr="00863F6F">
        <w:rPr>
          <w:rFonts w:ascii="Cambria" w:hAnsi="Cambria" w:cstheme="minorHAnsi"/>
          <w:iCs/>
        </w:rPr>
        <w:tab/>
        <w:t xml:space="preserve">= </w:t>
      </w:r>
      <w:r w:rsidRPr="00863F6F">
        <w:rPr>
          <w:rFonts w:ascii="Cambria" w:hAnsi="Cambria" w:cstheme="minorHAnsi"/>
          <w:i/>
        </w:rPr>
        <w:t>Earning Per Share</w:t>
      </w:r>
    </w:p>
    <w:p w:rsidR="00DA6497" w:rsidRPr="00863F6F" w:rsidRDefault="00DA6497" w:rsidP="00504223">
      <w:pPr>
        <w:pStyle w:val="TidakAdaSpasi"/>
        <w:rPr>
          <w:rFonts w:ascii="Cambria" w:hAnsi="Cambria" w:cstheme="minorHAnsi"/>
          <w:iCs/>
        </w:rPr>
      </w:pPr>
      <w:r w:rsidRPr="00863F6F">
        <w:rPr>
          <w:rFonts w:ascii="Cambria" w:hAnsi="Cambria" w:cstheme="minorHAnsi"/>
          <w:iCs/>
        </w:rPr>
        <w:t>X3</w:t>
      </w:r>
      <w:r w:rsidRPr="00863F6F">
        <w:rPr>
          <w:rFonts w:ascii="Cambria" w:hAnsi="Cambria" w:cstheme="minorHAnsi"/>
          <w:iCs/>
        </w:rPr>
        <w:tab/>
      </w:r>
      <w:r w:rsidRPr="00863F6F">
        <w:rPr>
          <w:rFonts w:ascii="Cambria" w:hAnsi="Cambria" w:cstheme="minorHAnsi"/>
          <w:iCs/>
        </w:rPr>
        <w:tab/>
        <w:t xml:space="preserve">= </w:t>
      </w:r>
      <w:r w:rsidRPr="00863F6F">
        <w:rPr>
          <w:rFonts w:ascii="Cambria" w:hAnsi="Cambria" w:cstheme="minorHAnsi"/>
          <w:i/>
        </w:rPr>
        <w:t xml:space="preserve">Return </w:t>
      </w:r>
      <w:r w:rsidR="00863F6F">
        <w:rPr>
          <w:rFonts w:ascii="Cambria" w:hAnsi="Cambria" w:cstheme="minorHAnsi"/>
          <w:i/>
          <w:lang w:val="en-US"/>
        </w:rPr>
        <w:t>o</w:t>
      </w:r>
      <w:r w:rsidRPr="00863F6F">
        <w:rPr>
          <w:rFonts w:ascii="Cambria" w:hAnsi="Cambria" w:cstheme="minorHAnsi"/>
          <w:i/>
        </w:rPr>
        <w:t>n Equity</w:t>
      </w:r>
      <w:r w:rsidRPr="00863F6F">
        <w:rPr>
          <w:rFonts w:ascii="Cambria" w:hAnsi="Cambria" w:cstheme="minorHAnsi"/>
          <w:iCs/>
        </w:rPr>
        <w:t xml:space="preserve"> </w:t>
      </w:r>
    </w:p>
    <w:p w:rsidR="00DA6497" w:rsidRPr="00863F6F" w:rsidRDefault="00DA6497" w:rsidP="00504223">
      <w:pPr>
        <w:pStyle w:val="TidakAdaSpasi"/>
        <w:rPr>
          <w:rFonts w:ascii="Cambria" w:hAnsi="Cambria" w:cstheme="minorHAnsi"/>
          <w:iCs/>
        </w:rPr>
      </w:pPr>
      <w:r w:rsidRPr="00863F6F">
        <w:rPr>
          <w:rFonts w:ascii="Cambria" w:hAnsi="Cambria" w:cstheme="minorHAnsi"/>
          <w:iCs/>
        </w:rPr>
        <w:t>α</w:t>
      </w:r>
      <w:r w:rsidRPr="00863F6F">
        <w:rPr>
          <w:rFonts w:ascii="Cambria" w:hAnsi="Cambria" w:cstheme="minorHAnsi"/>
          <w:iCs/>
        </w:rPr>
        <w:tab/>
      </w:r>
      <w:r w:rsidRPr="00863F6F">
        <w:rPr>
          <w:rFonts w:ascii="Cambria" w:hAnsi="Cambria" w:cstheme="minorHAnsi"/>
          <w:iCs/>
        </w:rPr>
        <w:tab/>
        <w:t xml:space="preserve">= Konstanta </w:t>
      </w:r>
    </w:p>
    <w:p w:rsidR="00DA6497" w:rsidRPr="00863F6F" w:rsidRDefault="00DA6497" w:rsidP="00504223">
      <w:pPr>
        <w:pStyle w:val="TidakAdaSpasi"/>
        <w:rPr>
          <w:rFonts w:ascii="Cambria" w:hAnsi="Cambria" w:cstheme="minorHAnsi"/>
          <w:iCs/>
        </w:rPr>
      </w:pPr>
      <w:r w:rsidRPr="00863F6F">
        <w:rPr>
          <w:rFonts w:ascii="Cambria" w:hAnsi="Cambria" w:cstheme="minorHAnsi"/>
          <w:iCs/>
        </w:rPr>
        <w:t>b1, b2, b3</w:t>
      </w:r>
      <w:r w:rsidRPr="00863F6F">
        <w:rPr>
          <w:rFonts w:ascii="Cambria" w:hAnsi="Cambria" w:cstheme="minorHAnsi"/>
          <w:iCs/>
        </w:rPr>
        <w:tab/>
        <w:t xml:space="preserve">= Koefisien regresi </w:t>
      </w:r>
    </w:p>
    <w:p w:rsidR="00DA6497" w:rsidRPr="00504223" w:rsidRDefault="00DA6497" w:rsidP="00504223">
      <w:pPr>
        <w:spacing w:after="240"/>
        <w:jc w:val="both"/>
        <w:rPr>
          <w:rFonts w:ascii="Cambria" w:hAnsi="Cambria"/>
        </w:rPr>
      </w:pPr>
      <w:r w:rsidRPr="00863F6F">
        <w:rPr>
          <w:rFonts w:ascii="Cambria" w:hAnsi="Cambria" w:cstheme="minorHAnsi"/>
          <w:iCs/>
        </w:rPr>
        <w:t>e</w:t>
      </w:r>
      <w:r w:rsidRPr="00863F6F">
        <w:rPr>
          <w:rFonts w:ascii="Cambria" w:hAnsi="Cambria" w:cstheme="minorHAnsi"/>
          <w:iCs/>
        </w:rPr>
        <w:tab/>
      </w:r>
      <w:r w:rsidRPr="00863F6F">
        <w:rPr>
          <w:rFonts w:ascii="Cambria" w:hAnsi="Cambria" w:cstheme="minorHAnsi"/>
          <w:iCs/>
        </w:rPr>
        <w:tab/>
        <w:t>= Standard Error</w:t>
      </w:r>
      <w:r w:rsidRPr="00504223">
        <w:rPr>
          <w:rFonts w:ascii="Cambria" w:hAnsi="Cambria"/>
        </w:rPr>
        <w:t xml:space="preserve"> </w:t>
      </w:r>
    </w:p>
    <w:p w:rsidR="007607E2" w:rsidRPr="00504223" w:rsidRDefault="007607E2" w:rsidP="00504223">
      <w:pPr>
        <w:spacing w:after="240"/>
        <w:ind w:firstLine="720"/>
        <w:jc w:val="both"/>
        <w:rPr>
          <w:rFonts w:ascii="Cambria" w:hAnsi="Cambria"/>
        </w:rPr>
      </w:pPr>
      <w:r w:rsidRPr="00504223">
        <w:rPr>
          <w:rFonts w:ascii="Cambria" w:hAnsi="Cambria"/>
        </w:rPr>
        <w:t xml:space="preserve">Pengujian hipotesis dilakukan melalui </w:t>
      </w:r>
      <w:r w:rsidRPr="00504223">
        <w:rPr>
          <w:rStyle w:val="Kuat"/>
          <w:rFonts w:ascii="Cambria" w:eastAsiaTheme="majorEastAsia" w:hAnsi="Cambria"/>
          <w:b w:val="0"/>
          <w:bCs w:val="0"/>
        </w:rPr>
        <w:t>uji t (parsial)</w:t>
      </w:r>
      <w:r w:rsidRPr="00504223">
        <w:rPr>
          <w:rFonts w:ascii="Cambria" w:hAnsi="Cambria"/>
        </w:rPr>
        <w:t xml:space="preserve"> untuk mengetahui pengaruh masing-masing variabel independen terhadap nilai perusahaan dan </w:t>
      </w:r>
      <w:r w:rsidRPr="00504223">
        <w:rPr>
          <w:rStyle w:val="Kuat"/>
          <w:rFonts w:ascii="Cambria" w:eastAsiaTheme="majorEastAsia" w:hAnsi="Cambria"/>
          <w:b w:val="0"/>
          <w:bCs w:val="0"/>
        </w:rPr>
        <w:t>uji F (simultan)</w:t>
      </w:r>
      <w:r w:rsidRPr="00504223">
        <w:rPr>
          <w:rFonts w:ascii="Cambria" w:hAnsi="Cambria"/>
        </w:rPr>
        <w:t xml:space="preserve"> untuk mengetahui pengaruh seluruh variabel independen secara bersama-sama terhadap variabel dependen. Selain itu, digunakan </w:t>
      </w:r>
      <w:r w:rsidRPr="00504223">
        <w:rPr>
          <w:rStyle w:val="Kuat"/>
          <w:rFonts w:ascii="Cambria" w:eastAsiaTheme="majorEastAsia" w:hAnsi="Cambria"/>
          <w:b w:val="0"/>
          <w:bCs w:val="0"/>
        </w:rPr>
        <w:t>koefisien determinasi (Adjusted R²)</w:t>
      </w:r>
      <w:r w:rsidRPr="00504223">
        <w:rPr>
          <w:rFonts w:ascii="Cambria" w:hAnsi="Cambria"/>
        </w:rPr>
        <w:t xml:space="preserve"> untuk mengukur kemampuan model dalam menjelaskan variasi nilai perusahaan (Ghozali, 2021).</w:t>
      </w:r>
    </w:p>
    <w:p w:rsidR="00DA6497" w:rsidRPr="00504223" w:rsidRDefault="00DA6497" w:rsidP="00504223">
      <w:pPr>
        <w:pBdr>
          <w:top w:val="nil"/>
          <w:left w:val="nil"/>
          <w:bottom w:val="nil"/>
          <w:right w:val="nil"/>
          <w:between w:val="nil"/>
        </w:pBdr>
        <w:jc w:val="both"/>
        <w:rPr>
          <w:rFonts w:ascii="Cambria" w:hAnsi="Cambria"/>
          <w:b/>
          <w:color w:val="000000"/>
        </w:rPr>
      </w:pPr>
      <w:r w:rsidRPr="00504223">
        <w:rPr>
          <w:rFonts w:ascii="Cambria" w:hAnsi="Cambria"/>
          <w:b/>
          <w:color w:val="000000"/>
        </w:rPr>
        <w:t xml:space="preserve">HASIL DAN PEMBAHASAN </w:t>
      </w:r>
    </w:p>
    <w:p w:rsidR="00DA6497" w:rsidRPr="00504223" w:rsidRDefault="00DA6497" w:rsidP="00504223">
      <w:pPr>
        <w:adjustRightInd w:val="0"/>
        <w:ind w:firstLine="720"/>
        <w:jc w:val="both"/>
        <w:rPr>
          <w:rFonts w:ascii="Cambria" w:hAnsi="Cambria" w:cstheme="majorBidi"/>
        </w:rPr>
      </w:pPr>
      <w:r w:rsidRPr="00504223">
        <w:rPr>
          <w:rFonts w:ascii="Cambria" w:hAnsi="Cambria" w:cstheme="majorBidi"/>
        </w:rPr>
        <w:t>Analisis Deskriptif Untuk menganalisis data dengan cara memberikan gambaran atau deskriptif suatu yang dilihat dari nilai rata-rata maksimum, minimum standar deviasi. Hasil pengolahan data SPSS terhadap data tersebut dapat dilihat pada tabel 2 :</w:t>
      </w:r>
    </w:p>
    <w:p w:rsidR="00DA6497" w:rsidRPr="00504223" w:rsidRDefault="00DA6497" w:rsidP="00504223">
      <w:pPr>
        <w:pStyle w:val="TeksIsi"/>
        <w:ind w:right="139"/>
        <w:jc w:val="center"/>
        <w:rPr>
          <w:rFonts w:ascii="Cambria" w:hAnsi="Cambria" w:cstheme="majorBidi"/>
          <w:b/>
          <w:sz w:val="24"/>
          <w:szCs w:val="24"/>
        </w:rPr>
      </w:pPr>
      <w:r w:rsidRPr="00504223">
        <w:rPr>
          <w:rFonts w:ascii="Cambria" w:hAnsi="Cambria" w:cstheme="majorBidi"/>
          <w:b/>
          <w:sz w:val="24"/>
          <w:szCs w:val="24"/>
        </w:rPr>
        <w:t xml:space="preserve">Tabel </w:t>
      </w:r>
      <w:r w:rsidR="00E178C1" w:rsidRPr="00504223">
        <w:rPr>
          <w:rFonts w:ascii="Cambria" w:hAnsi="Cambria" w:cstheme="majorBidi"/>
          <w:b/>
          <w:sz w:val="24"/>
          <w:szCs w:val="24"/>
          <w:lang w:val="en-US"/>
        </w:rPr>
        <w:t xml:space="preserve">3. </w:t>
      </w:r>
      <w:r w:rsidRPr="00504223">
        <w:rPr>
          <w:rFonts w:ascii="Cambria" w:hAnsi="Cambria" w:cstheme="majorBidi"/>
          <w:b/>
          <w:sz w:val="24"/>
          <w:szCs w:val="24"/>
        </w:rPr>
        <w:t>Statistik Deskriptif</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609"/>
        <w:gridCol w:w="746"/>
        <w:gridCol w:w="1366"/>
        <w:gridCol w:w="1366"/>
        <w:gridCol w:w="994"/>
        <w:gridCol w:w="1990"/>
      </w:tblGrid>
      <w:tr w:rsidR="00DA6497" w:rsidRPr="00AF3A1E" w:rsidTr="00E178C1">
        <w:trPr>
          <w:cantSplit/>
        </w:trPr>
        <w:tc>
          <w:tcPr>
            <w:tcW w:w="5000" w:type="pct"/>
            <w:gridSpan w:val="6"/>
            <w:tcBorders>
              <w:top w:val="single" w:sz="4" w:space="0" w:color="auto"/>
              <w:bottom w:val="single" w:sz="4" w:space="0" w:color="auto"/>
            </w:tcBorders>
            <w:shd w:val="clear" w:color="auto" w:fill="auto"/>
            <w:vAlign w:val="center"/>
          </w:tcPr>
          <w:p w:rsidR="00DA6497" w:rsidRPr="00AF3A1E" w:rsidRDefault="00DA6497" w:rsidP="00504223">
            <w:pPr>
              <w:adjustRightInd w:val="0"/>
              <w:ind w:left="60" w:right="60"/>
              <w:jc w:val="center"/>
              <w:rPr>
                <w:rFonts w:ascii="Cambria" w:eastAsiaTheme="minorHAnsi" w:hAnsi="Cambria"/>
                <w:i/>
                <w:iCs/>
                <w:sz w:val="22"/>
                <w:szCs w:val="22"/>
                <w:lang w:val="en-US"/>
              </w:rPr>
            </w:pPr>
            <w:r w:rsidRPr="00AF3A1E">
              <w:rPr>
                <w:rFonts w:ascii="Cambria" w:eastAsiaTheme="minorHAnsi" w:hAnsi="Cambria"/>
                <w:b/>
                <w:bCs/>
                <w:i/>
                <w:iCs/>
                <w:sz w:val="22"/>
                <w:szCs w:val="22"/>
                <w:lang w:val="en-US"/>
              </w:rPr>
              <w:t>Descriptive Statistics</w:t>
            </w:r>
          </w:p>
        </w:tc>
      </w:tr>
      <w:tr w:rsidR="00DA6497" w:rsidRPr="00AF3A1E" w:rsidTr="00E178C1">
        <w:trPr>
          <w:cantSplit/>
        </w:trPr>
        <w:tc>
          <w:tcPr>
            <w:tcW w:w="1438" w:type="pct"/>
            <w:tcBorders>
              <w:top w:val="single" w:sz="4" w:space="0" w:color="auto"/>
              <w:bottom w:val="single" w:sz="4" w:space="0" w:color="auto"/>
            </w:tcBorders>
            <w:shd w:val="clear" w:color="auto" w:fill="auto"/>
            <w:vAlign w:val="bottom"/>
          </w:tcPr>
          <w:p w:rsidR="00DA6497" w:rsidRPr="00AF3A1E" w:rsidRDefault="00DA6497" w:rsidP="00504223">
            <w:pPr>
              <w:adjustRightInd w:val="0"/>
              <w:rPr>
                <w:rFonts w:ascii="Cambria" w:eastAsiaTheme="minorHAnsi" w:hAnsi="Cambria"/>
                <w:sz w:val="22"/>
                <w:szCs w:val="22"/>
                <w:lang w:val="en-US"/>
              </w:rPr>
            </w:pPr>
          </w:p>
        </w:tc>
        <w:tc>
          <w:tcPr>
            <w:tcW w:w="411" w:type="pct"/>
            <w:tcBorders>
              <w:top w:val="single" w:sz="4" w:space="0" w:color="auto"/>
              <w:bottom w:val="single" w:sz="4" w:space="0" w:color="auto"/>
            </w:tcBorders>
            <w:shd w:val="clear" w:color="auto" w:fill="auto"/>
            <w:vAlign w:val="bottom"/>
          </w:tcPr>
          <w:p w:rsidR="00DA6497" w:rsidRPr="00AF3A1E" w:rsidRDefault="00DA6497" w:rsidP="00504223">
            <w:pPr>
              <w:adjustRightInd w:val="0"/>
              <w:ind w:left="60" w:right="60"/>
              <w:jc w:val="center"/>
              <w:rPr>
                <w:rFonts w:ascii="Cambria" w:eastAsiaTheme="minorHAnsi" w:hAnsi="Cambria"/>
                <w:b/>
                <w:bCs/>
                <w:sz w:val="22"/>
                <w:szCs w:val="22"/>
                <w:lang w:val="en-US"/>
              </w:rPr>
            </w:pPr>
            <w:r w:rsidRPr="00AF3A1E">
              <w:rPr>
                <w:rFonts w:ascii="Cambria" w:eastAsiaTheme="minorHAnsi" w:hAnsi="Cambria"/>
                <w:b/>
                <w:bCs/>
                <w:sz w:val="22"/>
                <w:szCs w:val="22"/>
                <w:lang w:val="en-US"/>
              </w:rPr>
              <w:t>N</w:t>
            </w:r>
          </w:p>
        </w:tc>
        <w:tc>
          <w:tcPr>
            <w:tcW w:w="753" w:type="pct"/>
            <w:tcBorders>
              <w:top w:val="single" w:sz="4" w:space="0" w:color="auto"/>
              <w:bottom w:val="single" w:sz="4" w:space="0" w:color="auto"/>
            </w:tcBorders>
            <w:shd w:val="clear" w:color="auto" w:fill="auto"/>
            <w:vAlign w:val="bottom"/>
          </w:tcPr>
          <w:p w:rsidR="00DA6497" w:rsidRPr="00AF3A1E" w:rsidRDefault="00DA6497" w:rsidP="00504223">
            <w:pPr>
              <w:adjustRightInd w:val="0"/>
              <w:ind w:left="60" w:right="60"/>
              <w:jc w:val="center"/>
              <w:rPr>
                <w:rFonts w:ascii="Cambria" w:eastAsiaTheme="minorHAnsi" w:hAnsi="Cambria"/>
                <w:b/>
                <w:bCs/>
                <w:i/>
                <w:iCs/>
                <w:sz w:val="22"/>
                <w:szCs w:val="22"/>
                <w:lang w:val="en-US"/>
              </w:rPr>
            </w:pPr>
            <w:r w:rsidRPr="00AF3A1E">
              <w:rPr>
                <w:rFonts w:ascii="Cambria" w:eastAsiaTheme="minorHAnsi" w:hAnsi="Cambria"/>
                <w:b/>
                <w:bCs/>
                <w:i/>
                <w:iCs/>
                <w:sz w:val="22"/>
                <w:szCs w:val="22"/>
                <w:lang w:val="en-US"/>
              </w:rPr>
              <w:t>Minimum</w:t>
            </w:r>
          </w:p>
        </w:tc>
        <w:tc>
          <w:tcPr>
            <w:tcW w:w="753" w:type="pct"/>
            <w:tcBorders>
              <w:top w:val="single" w:sz="4" w:space="0" w:color="auto"/>
              <w:bottom w:val="single" w:sz="4" w:space="0" w:color="auto"/>
            </w:tcBorders>
            <w:shd w:val="clear" w:color="auto" w:fill="auto"/>
            <w:vAlign w:val="bottom"/>
          </w:tcPr>
          <w:p w:rsidR="00DA6497" w:rsidRPr="00AF3A1E" w:rsidRDefault="00DA6497" w:rsidP="00504223">
            <w:pPr>
              <w:adjustRightInd w:val="0"/>
              <w:ind w:left="60" w:right="60"/>
              <w:jc w:val="center"/>
              <w:rPr>
                <w:rFonts w:ascii="Cambria" w:eastAsiaTheme="minorHAnsi" w:hAnsi="Cambria"/>
                <w:b/>
                <w:bCs/>
                <w:i/>
                <w:iCs/>
                <w:sz w:val="22"/>
                <w:szCs w:val="22"/>
                <w:lang w:val="en-US"/>
              </w:rPr>
            </w:pPr>
            <w:r w:rsidRPr="00AF3A1E">
              <w:rPr>
                <w:rFonts w:ascii="Cambria" w:eastAsiaTheme="minorHAnsi" w:hAnsi="Cambria"/>
                <w:b/>
                <w:bCs/>
                <w:i/>
                <w:iCs/>
                <w:sz w:val="22"/>
                <w:szCs w:val="22"/>
                <w:lang w:val="en-US"/>
              </w:rPr>
              <w:t>Maximum</w:t>
            </w:r>
          </w:p>
        </w:tc>
        <w:tc>
          <w:tcPr>
            <w:tcW w:w="548" w:type="pct"/>
            <w:tcBorders>
              <w:top w:val="single" w:sz="4" w:space="0" w:color="auto"/>
              <w:bottom w:val="single" w:sz="4" w:space="0" w:color="auto"/>
            </w:tcBorders>
            <w:shd w:val="clear" w:color="auto" w:fill="auto"/>
            <w:vAlign w:val="bottom"/>
          </w:tcPr>
          <w:p w:rsidR="00DA6497" w:rsidRPr="00AF3A1E" w:rsidRDefault="00DA6497" w:rsidP="00504223">
            <w:pPr>
              <w:adjustRightInd w:val="0"/>
              <w:ind w:left="60" w:right="60"/>
              <w:jc w:val="center"/>
              <w:rPr>
                <w:rFonts w:ascii="Cambria" w:eastAsiaTheme="minorHAnsi" w:hAnsi="Cambria"/>
                <w:b/>
                <w:bCs/>
                <w:i/>
                <w:iCs/>
                <w:sz w:val="22"/>
                <w:szCs w:val="22"/>
                <w:lang w:val="en-US"/>
              </w:rPr>
            </w:pPr>
            <w:r w:rsidRPr="00AF3A1E">
              <w:rPr>
                <w:rFonts w:ascii="Cambria" w:eastAsiaTheme="minorHAnsi" w:hAnsi="Cambria"/>
                <w:b/>
                <w:bCs/>
                <w:i/>
                <w:iCs/>
                <w:sz w:val="22"/>
                <w:szCs w:val="22"/>
                <w:lang w:val="en-US"/>
              </w:rPr>
              <w:t>Mean</w:t>
            </w:r>
          </w:p>
        </w:tc>
        <w:tc>
          <w:tcPr>
            <w:tcW w:w="1096" w:type="pct"/>
            <w:tcBorders>
              <w:top w:val="single" w:sz="4" w:space="0" w:color="auto"/>
              <w:bottom w:val="single" w:sz="4" w:space="0" w:color="auto"/>
            </w:tcBorders>
            <w:shd w:val="clear" w:color="auto" w:fill="auto"/>
            <w:vAlign w:val="bottom"/>
          </w:tcPr>
          <w:p w:rsidR="00DA6497" w:rsidRPr="00AF3A1E" w:rsidRDefault="00DA6497" w:rsidP="00504223">
            <w:pPr>
              <w:adjustRightInd w:val="0"/>
              <w:ind w:left="60" w:right="60"/>
              <w:jc w:val="center"/>
              <w:rPr>
                <w:rFonts w:ascii="Cambria" w:eastAsiaTheme="minorHAnsi" w:hAnsi="Cambria"/>
                <w:b/>
                <w:bCs/>
                <w:i/>
                <w:iCs/>
                <w:sz w:val="22"/>
                <w:szCs w:val="22"/>
                <w:lang w:val="en-US"/>
              </w:rPr>
            </w:pPr>
            <w:r w:rsidRPr="00AF3A1E">
              <w:rPr>
                <w:rFonts w:ascii="Cambria" w:eastAsiaTheme="minorHAnsi" w:hAnsi="Cambria"/>
                <w:b/>
                <w:bCs/>
                <w:i/>
                <w:iCs/>
                <w:sz w:val="22"/>
                <w:szCs w:val="22"/>
                <w:lang w:val="en-US"/>
              </w:rPr>
              <w:t>Std. Deviation</w:t>
            </w:r>
          </w:p>
        </w:tc>
      </w:tr>
      <w:tr w:rsidR="00DA6497" w:rsidRPr="00AF3A1E" w:rsidTr="00E178C1">
        <w:trPr>
          <w:cantSplit/>
        </w:trPr>
        <w:tc>
          <w:tcPr>
            <w:tcW w:w="1438" w:type="pct"/>
            <w:tcBorders>
              <w:top w:val="single" w:sz="4" w:space="0" w:color="auto"/>
            </w:tcBorders>
            <w:shd w:val="clear" w:color="auto" w:fill="auto"/>
          </w:tcPr>
          <w:p w:rsidR="00DA6497" w:rsidRPr="00AF3A1E" w:rsidRDefault="00DA6497" w:rsidP="00504223">
            <w:pPr>
              <w:adjustRightInd w:val="0"/>
              <w:ind w:left="60" w:right="60"/>
              <w:rPr>
                <w:rFonts w:ascii="Cambria" w:eastAsiaTheme="minorHAnsi" w:hAnsi="Cambria"/>
                <w:i/>
                <w:sz w:val="22"/>
                <w:szCs w:val="22"/>
                <w:lang w:val="en-US"/>
              </w:rPr>
            </w:pPr>
            <w:r w:rsidRPr="00AF3A1E">
              <w:rPr>
                <w:rFonts w:ascii="Cambria" w:eastAsiaTheme="minorHAnsi" w:hAnsi="Cambria"/>
                <w:i/>
                <w:sz w:val="22"/>
                <w:szCs w:val="22"/>
                <w:lang w:val="en-US"/>
              </w:rPr>
              <w:t>Debt To Equity Ratio</w:t>
            </w:r>
          </w:p>
        </w:tc>
        <w:tc>
          <w:tcPr>
            <w:tcW w:w="411" w:type="pct"/>
            <w:tcBorders>
              <w:top w:val="single" w:sz="4" w:space="0" w:color="auto"/>
            </w:tcBorders>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54</w:t>
            </w:r>
          </w:p>
        </w:tc>
        <w:tc>
          <w:tcPr>
            <w:tcW w:w="753" w:type="pct"/>
            <w:tcBorders>
              <w:top w:val="single" w:sz="4" w:space="0" w:color="auto"/>
            </w:tcBorders>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-.70</w:t>
            </w:r>
          </w:p>
        </w:tc>
        <w:tc>
          <w:tcPr>
            <w:tcW w:w="753" w:type="pct"/>
            <w:tcBorders>
              <w:top w:val="single" w:sz="4" w:space="0" w:color="auto"/>
            </w:tcBorders>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1.59</w:t>
            </w:r>
          </w:p>
        </w:tc>
        <w:tc>
          <w:tcPr>
            <w:tcW w:w="548" w:type="pct"/>
            <w:tcBorders>
              <w:top w:val="single" w:sz="4" w:space="0" w:color="auto"/>
            </w:tcBorders>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.1767</w:t>
            </w:r>
          </w:p>
        </w:tc>
        <w:tc>
          <w:tcPr>
            <w:tcW w:w="1096" w:type="pct"/>
            <w:tcBorders>
              <w:top w:val="single" w:sz="4" w:space="0" w:color="auto"/>
            </w:tcBorders>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.36283</w:t>
            </w:r>
          </w:p>
        </w:tc>
      </w:tr>
      <w:tr w:rsidR="00DA6497" w:rsidRPr="00AF3A1E" w:rsidTr="00E178C1">
        <w:trPr>
          <w:cantSplit/>
        </w:trPr>
        <w:tc>
          <w:tcPr>
            <w:tcW w:w="1438" w:type="pct"/>
            <w:shd w:val="clear" w:color="auto" w:fill="auto"/>
          </w:tcPr>
          <w:p w:rsidR="00DA6497" w:rsidRPr="00AF3A1E" w:rsidRDefault="00DA6497" w:rsidP="00504223">
            <w:pPr>
              <w:adjustRightInd w:val="0"/>
              <w:ind w:left="60" w:right="60"/>
              <w:rPr>
                <w:rFonts w:ascii="Cambria" w:eastAsiaTheme="minorHAnsi" w:hAnsi="Cambria"/>
                <w:i/>
                <w:sz w:val="22"/>
                <w:szCs w:val="22"/>
                <w:lang w:val="en-US"/>
              </w:rPr>
            </w:pPr>
            <w:r w:rsidRPr="00AF3A1E">
              <w:rPr>
                <w:rFonts w:ascii="Cambria" w:eastAsiaTheme="minorHAnsi" w:hAnsi="Cambria"/>
                <w:i/>
                <w:sz w:val="22"/>
                <w:szCs w:val="22"/>
                <w:lang w:val="en-US"/>
              </w:rPr>
              <w:t>Earning Per Share</w:t>
            </w:r>
          </w:p>
        </w:tc>
        <w:tc>
          <w:tcPr>
            <w:tcW w:w="411"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54</w:t>
            </w:r>
          </w:p>
        </w:tc>
        <w:tc>
          <w:tcPr>
            <w:tcW w:w="753"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1.15</w:t>
            </w:r>
          </w:p>
        </w:tc>
        <w:tc>
          <w:tcPr>
            <w:tcW w:w="753"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2.13</w:t>
            </w:r>
          </w:p>
        </w:tc>
        <w:tc>
          <w:tcPr>
            <w:tcW w:w="548"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1.1266</w:t>
            </w:r>
          </w:p>
        </w:tc>
        <w:tc>
          <w:tcPr>
            <w:tcW w:w="1096"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2.32531</w:t>
            </w:r>
          </w:p>
        </w:tc>
      </w:tr>
      <w:tr w:rsidR="00DA6497" w:rsidRPr="00AF3A1E" w:rsidTr="00E178C1">
        <w:trPr>
          <w:cantSplit/>
          <w:trHeight w:val="341"/>
        </w:trPr>
        <w:tc>
          <w:tcPr>
            <w:tcW w:w="1438" w:type="pct"/>
            <w:shd w:val="clear" w:color="auto" w:fill="auto"/>
          </w:tcPr>
          <w:p w:rsidR="00DA6497" w:rsidRPr="00AF3A1E" w:rsidRDefault="00DA6497" w:rsidP="00504223">
            <w:pPr>
              <w:adjustRightInd w:val="0"/>
              <w:ind w:left="60" w:right="60"/>
              <w:rPr>
                <w:rFonts w:ascii="Cambria" w:eastAsiaTheme="minorHAnsi" w:hAnsi="Cambria"/>
                <w:i/>
                <w:sz w:val="22"/>
                <w:szCs w:val="22"/>
                <w:lang w:val="en-US"/>
              </w:rPr>
            </w:pPr>
            <w:r w:rsidRPr="00AF3A1E">
              <w:rPr>
                <w:rFonts w:ascii="Cambria" w:eastAsiaTheme="minorHAnsi" w:hAnsi="Cambria"/>
                <w:i/>
                <w:sz w:val="22"/>
                <w:szCs w:val="22"/>
                <w:lang w:val="en-US"/>
              </w:rPr>
              <w:t>Return On Equity</w:t>
            </w:r>
          </w:p>
        </w:tc>
        <w:tc>
          <w:tcPr>
            <w:tcW w:w="411"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54</w:t>
            </w:r>
          </w:p>
        </w:tc>
        <w:tc>
          <w:tcPr>
            <w:tcW w:w="753"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-2.13</w:t>
            </w:r>
          </w:p>
        </w:tc>
        <w:tc>
          <w:tcPr>
            <w:tcW w:w="753"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5.37</w:t>
            </w:r>
          </w:p>
        </w:tc>
        <w:tc>
          <w:tcPr>
            <w:tcW w:w="548"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.8486</w:t>
            </w:r>
          </w:p>
        </w:tc>
        <w:tc>
          <w:tcPr>
            <w:tcW w:w="1096"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.99397</w:t>
            </w:r>
          </w:p>
        </w:tc>
      </w:tr>
      <w:tr w:rsidR="00DA6497" w:rsidRPr="00AF3A1E" w:rsidTr="00E178C1">
        <w:trPr>
          <w:cantSplit/>
        </w:trPr>
        <w:tc>
          <w:tcPr>
            <w:tcW w:w="1438" w:type="pct"/>
            <w:shd w:val="clear" w:color="auto" w:fill="auto"/>
          </w:tcPr>
          <w:p w:rsidR="00DA6497" w:rsidRPr="00AF3A1E" w:rsidRDefault="00DA6497" w:rsidP="00504223">
            <w:pPr>
              <w:adjustRightInd w:val="0"/>
              <w:ind w:left="60" w:right="60"/>
              <w:rPr>
                <w:rFonts w:ascii="Cambria" w:eastAsiaTheme="minorHAnsi" w:hAnsi="Cambria"/>
                <w:sz w:val="22"/>
                <w:szCs w:val="22"/>
                <w:lang w:val="en-US"/>
              </w:rPr>
            </w:pPr>
            <w:r w:rsidRPr="00AF3A1E">
              <w:rPr>
                <w:rFonts w:ascii="Cambria" w:eastAsiaTheme="minorHAnsi" w:hAnsi="Cambria"/>
                <w:sz w:val="22"/>
                <w:szCs w:val="22"/>
                <w:lang w:val="en-US"/>
              </w:rPr>
              <w:t>Nilai perusahaan</w:t>
            </w:r>
          </w:p>
        </w:tc>
        <w:tc>
          <w:tcPr>
            <w:tcW w:w="411"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54</w:t>
            </w:r>
          </w:p>
        </w:tc>
        <w:tc>
          <w:tcPr>
            <w:tcW w:w="753"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-.46</w:t>
            </w:r>
          </w:p>
        </w:tc>
        <w:tc>
          <w:tcPr>
            <w:tcW w:w="753"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28.87</w:t>
            </w:r>
          </w:p>
        </w:tc>
        <w:tc>
          <w:tcPr>
            <w:tcW w:w="548"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3.8811</w:t>
            </w:r>
          </w:p>
        </w:tc>
        <w:tc>
          <w:tcPr>
            <w:tcW w:w="1096"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5.98549</w:t>
            </w:r>
          </w:p>
        </w:tc>
      </w:tr>
      <w:tr w:rsidR="00DA6497" w:rsidRPr="00AF3A1E" w:rsidTr="00E178C1">
        <w:trPr>
          <w:cantSplit/>
        </w:trPr>
        <w:tc>
          <w:tcPr>
            <w:tcW w:w="1438" w:type="pct"/>
            <w:shd w:val="clear" w:color="auto" w:fill="auto"/>
          </w:tcPr>
          <w:p w:rsidR="00DA6497" w:rsidRPr="00AF3A1E" w:rsidRDefault="00DA6497" w:rsidP="00504223">
            <w:pPr>
              <w:adjustRightInd w:val="0"/>
              <w:ind w:left="60" w:right="60"/>
              <w:rPr>
                <w:rFonts w:ascii="Cambria" w:eastAsiaTheme="minorHAnsi" w:hAnsi="Cambria"/>
                <w:sz w:val="22"/>
                <w:szCs w:val="22"/>
                <w:lang w:val="en-US"/>
              </w:rPr>
            </w:pPr>
            <w:r w:rsidRPr="00AF3A1E">
              <w:rPr>
                <w:rFonts w:ascii="Cambria" w:eastAsiaTheme="minorHAnsi" w:hAnsi="Cambria"/>
                <w:sz w:val="22"/>
                <w:szCs w:val="22"/>
                <w:lang w:val="en-US"/>
              </w:rPr>
              <w:t>Valid N (listwise)</w:t>
            </w:r>
          </w:p>
        </w:tc>
        <w:tc>
          <w:tcPr>
            <w:tcW w:w="411" w:type="pct"/>
            <w:shd w:val="clear" w:color="auto" w:fill="auto"/>
          </w:tcPr>
          <w:p w:rsidR="00DA6497" w:rsidRPr="00AF3A1E" w:rsidRDefault="00DA6497" w:rsidP="00504223">
            <w:pPr>
              <w:adjustRightInd w:val="0"/>
              <w:ind w:left="60" w:right="60"/>
              <w:jc w:val="right"/>
              <w:rPr>
                <w:rFonts w:ascii="Cambria" w:eastAsiaTheme="minorHAnsi" w:hAnsi="Cambria"/>
                <w:sz w:val="22"/>
                <w:szCs w:val="22"/>
                <w:lang w:val="en-US"/>
              </w:rPr>
            </w:pPr>
            <w:r w:rsidRPr="00AF3A1E">
              <w:rPr>
                <w:rFonts w:ascii="Cambria" w:eastAsiaTheme="minorHAnsi" w:hAnsi="Cambria"/>
                <w:sz w:val="22"/>
                <w:szCs w:val="22"/>
                <w:lang w:val="en-US"/>
              </w:rPr>
              <w:t>54</w:t>
            </w:r>
          </w:p>
        </w:tc>
        <w:tc>
          <w:tcPr>
            <w:tcW w:w="753" w:type="pct"/>
            <w:shd w:val="clear" w:color="auto" w:fill="auto"/>
            <w:vAlign w:val="center"/>
          </w:tcPr>
          <w:p w:rsidR="00DA6497" w:rsidRPr="00AF3A1E" w:rsidRDefault="00DA6497" w:rsidP="00504223">
            <w:pPr>
              <w:adjustRightInd w:val="0"/>
              <w:rPr>
                <w:rFonts w:ascii="Cambria" w:eastAsiaTheme="minorHAnsi" w:hAnsi="Cambria"/>
                <w:sz w:val="22"/>
                <w:szCs w:val="22"/>
                <w:lang w:val="en-US"/>
              </w:rPr>
            </w:pPr>
          </w:p>
        </w:tc>
        <w:tc>
          <w:tcPr>
            <w:tcW w:w="753" w:type="pct"/>
            <w:shd w:val="clear" w:color="auto" w:fill="auto"/>
            <w:vAlign w:val="center"/>
          </w:tcPr>
          <w:p w:rsidR="00DA6497" w:rsidRPr="00AF3A1E" w:rsidRDefault="00DA6497" w:rsidP="00504223">
            <w:pPr>
              <w:adjustRightInd w:val="0"/>
              <w:rPr>
                <w:rFonts w:ascii="Cambria" w:eastAsiaTheme="minorHAnsi" w:hAnsi="Cambria"/>
                <w:sz w:val="22"/>
                <w:szCs w:val="22"/>
                <w:lang w:val="en-US"/>
              </w:rPr>
            </w:pPr>
          </w:p>
        </w:tc>
        <w:tc>
          <w:tcPr>
            <w:tcW w:w="548" w:type="pct"/>
            <w:shd w:val="clear" w:color="auto" w:fill="auto"/>
            <w:vAlign w:val="center"/>
          </w:tcPr>
          <w:p w:rsidR="00DA6497" w:rsidRPr="00AF3A1E" w:rsidRDefault="00DA6497" w:rsidP="00504223">
            <w:pPr>
              <w:adjustRightInd w:val="0"/>
              <w:rPr>
                <w:rFonts w:ascii="Cambria" w:eastAsiaTheme="minorHAnsi" w:hAnsi="Cambria"/>
                <w:sz w:val="22"/>
                <w:szCs w:val="22"/>
                <w:lang w:val="en-US"/>
              </w:rPr>
            </w:pPr>
          </w:p>
        </w:tc>
        <w:tc>
          <w:tcPr>
            <w:tcW w:w="1096" w:type="pct"/>
            <w:shd w:val="clear" w:color="auto" w:fill="auto"/>
            <w:vAlign w:val="center"/>
          </w:tcPr>
          <w:p w:rsidR="00DA6497" w:rsidRPr="00AF3A1E" w:rsidRDefault="00DA6497" w:rsidP="00504223">
            <w:pPr>
              <w:adjustRightInd w:val="0"/>
              <w:rPr>
                <w:rFonts w:ascii="Cambria" w:eastAsiaTheme="minorHAnsi" w:hAnsi="Cambria"/>
                <w:sz w:val="22"/>
                <w:szCs w:val="22"/>
                <w:lang w:val="en-US"/>
              </w:rPr>
            </w:pPr>
          </w:p>
        </w:tc>
      </w:tr>
    </w:tbl>
    <w:p w:rsidR="00E178C1" w:rsidRPr="00AF3A1E" w:rsidRDefault="00E178C1" w:rsidP="00504223">
      <w:pPr>
        <w:jc w:val="both"/>
        <w:rPr>
          <w:rFonts w:ascii="Cambria" w:hAnsi="Cambria"/>
          <w:color w:val="000000"/>
          <w:sz w:val="22"/>
          <w:szCs w:val="22"/>
          <w:lang w:val="en-US"/>
        </w:rPr>
      </w:pPr>
      <w:r w:rsidRPr="00AF3A1E">
        <w:rPr>
          <w:rFonts w:ascii="Cambria" w:hAnsi="Cambria"/>
          <w:color w:val="000000"/>
          <w:sz w:val="22"/>
          <w:szCs w:val="22"/>
          <w:lang w:val="en-US"/>
        </w:rPr>
        <w:t>Sumber: olah data, 2025</w:t>
      </w:r>
    </w:p>
    <w:p w:rsidR="00504223" w:rsidRPr="00504223" w:rsidRDefault="00DA6497" w:rsidP="00504223">
      <w:pPr>
        <w:ind w:firstLine="720"/>
        <w:jc w:val="both"/>
        <w:rPr>
          <w:rFonts w:ascii="Cambria" w:hAnsi="Cambria"/>
          <w:color w:val="000000"/>
          <w:lang w:val="en-US"/>
        </w:rPr>
      </w:pPr>
      <w:r w:rsidRPr="00504223">
        <w:rPr>
          <w:rFonts w:ascii="Cambria" w:hAnsi="Cambria"/>
          <w:color w:val="000000"/>
        </w:rPr>
        <w:t xml:space="preserve">Ketahui bahwa dari 54 sampel Debt </w:t>
      </w:r>
      <w:r w:rsidR="00AF3A1E">
        <w:rPr>
          <w:rFonts w:ascii="Cambria" w:hAnsi="Cambria"/>
          <w:color w:val="000000"/>
          <w:lang w:val="en-US"/>
        </w:rPr>
        <w:t>t</w:t>
      </w:r>
      <w:r w:rsidRPr="00504223">
        <w:rPr>
          <w:rFonts w:ascii="Cambria" w:hAnsi="Cambria"/>
          <w:color w:val="000000"/>
        </w:rPr>
        <w:t xml:space="preserve">o Equity Ratio pada nilai perusahaan sektor telecommunication memiliki nilai minimum sebesar -.70 sedangkan nilai maksimum sebesar 1.59, menunjukkan bahwa Debt </w:t>
      </w:r>
      <w:r w:rsidR="00AF3A1E">
        <w:rPr>
          <w:rFonts w:ascii="Cambria" w:hAnsi="Cambria"/>
          <w:color w:val="000000"/>
          <w:lang w:val="en-US"/>
        </w:rPr>
        <w:t>t</w:t>
      </w:r>
      <w:r w:rsidRPr="00504223">
        <w:rPr>
          <w:rFonts w:ascii="Cambria" w:hAnsi="Cambria"/>
          <w:color w:val="000000"/>
        </w:rPr>
        <w:t xml:space="preserve">o Equity Ratio bahwa perusahaan sangat optimal dalam melunasi kewajiban lancarnya melalui asset lancar perusahaan, Dengan nilai rata-rata sebesar 0.1767 dan diperoleh nilai standar deviasi sebesar 0.36283 yang berarti seluruh data sampel Debt </w:t>
      </w:r>
      <w:r w:rsidR="00AF3A1E">
        <w:rPr>
          <w:rFonts w:ascii="Cambria" w:hAnsi="Cambria"/>
          <w:color w:val="000000"/>
          <w:lang w:val="en-US"/>
        </w:rPr>
        <w:t>t</w:t>
      </w:r>
      <w:r w:rsidRPr="00504223">
        <w:rPr>
          <w:rFonts w:ascii="Cambria" w:hAnsi="Cambria"/>
          <w:color w:val="000000"/>
        </w:rPr>
        <w:t>o Equity Ratio dari 54 perusahaan tidak mengalami fluktuasi yang cukup besar</w:t>
      </w:r>
      <w:r w:rsidR="00504223" w:rsidRPr="00504223">
        <w:rPr>
          <w:rFonts w:ascii="Cambria" w:hAnsi="Cambria"/>
          <w:color w:val="000000"/>
          <w:lang w:val="en-US"/>
        </w:rPr>
        <w:t xml:space="preserve">. </w:t>
      </w:r>
      <w:r w:rsidRPr="00504223">
        <w:rPr>
          <w:rFonts w:ascii="Cambria" w:hAnsi="Cambria"/>
          <w:color w:val="000000"/>
        </w:rPr>
        <w:t xml:space="preserve">Pada Nilai Earning Per Share pada nilai perusahaan sektor telecommunication, memiliki nilai minimum sebesar 1.15, sedangkan nilai maksimum sebesar 2.13 bahwa Hal ini berarti semakin tinggi EPS yang dihasilkan perusahaan, maka semakin besar pula keuntungan yang diterima oleh pemegang saham. Dengan nilai rata-rata sebesar 1.1266 dan diperoleh nilai standar deviasi sebesar 2.32531 yang berarti </w:t>
      </w:r>
      <w:r w:rsidRPr="00504223">
        <w:rPr>
          <w:rFonts w:ascii="Cambria" w:hAnsi="Cambria"/>
          <w:color w:val="000000"/>
        </w:rPr>
        <w:lastRenderedPageBreak/>
        <w:t>seluruh data sampel Earning Per Share dari 54 perusahaan Kondisi tersebut akan meningkatkan kepercayaan investor karena menunjukkan kinerja keuangan yang baik.</w:t>
      </w:r>
    </w:p>
    <w:p w:rsidR="00DA6497" w:rsidRPr="00504223" w:rsidRDefault="00DA6497" w:rsidP="00504223">
      <w:pPr>
        <w:ind w:firstLine="720"/>
        <w:jc w:val="both"/>
        <w:rPr>
          <w:rFonts w:ascii="Cambria" w:hAnsi="Cambria"/>
          <w:color w:val="000000"/>
        </w:rPr>
      </w:pPr>
      <w:r w:rsidRPr="00504223">
        <w:rPr>
          <w:rFonts w:ascii="Cambria" w:hAnsi="Cambria"/>
          <w:color w:val="000000"/>
        </w:rPr>
        <w:t xml:space="preserve">Pada Return </w:t>
      </w:r>
      <w:r w:rsidR="00AF3A1E">
        <w:rPr>
          <w:rFonts w:ascii="Cambria" w:hAnsi="Cambria"/>
          <w:color w:val="000000"/>
          <w:lang w:val="en-US"/>
        </w:rPr>
        <w:t>o</w:t>
      </w:r>
      <w:r w:rsidRPr="00504223">
        <w:rPr>
          <w:rFonts w:ascii="Cambria" w:hAnsi="Cambria"/>
          <w:color w:val="000000"/>
        </w:rPr>
        <w:t xml:space="preserve">n Equity pada nilai perusahaan sektor telecommunication memiliki nilai minimum sebesar -2.13, sedangkan nilai maksimum sebesar 5.37 menunjukkan bahwa Profitabilitas mampu menghasilakn laba dengan optimal. Dengan nilai rata-rata sebesar 0.8486 dan diperoleh nilai standar deviasi sebesar 0.99397 yang berarti seluruh data sampel Return </w:t>
      </w:r>
      <w:r w:rsidR="00AF3A1E">
        <w:rPr>
          <w:rFonts w:ascii="Cambria" w:hAnsi="Cambria"/>
          <w:color w:val="000000"/>
          <w:lang w:val="en-US"/>
        </w:rPr>
        <w:t>o</w:t>
      </w:r>
      <w:r w:rsidRPr="00504223">
        <w:rPr>
          <w:rFonts w:ascii="Cambria" w:hAnsi="Cambria"/>
          <w:color w:val="000000"/>
        </w:rPr>
        <w:t>n Equity  dari 54 perusahaan tidak mengalami fluktuasi yang cukup besar.</w:t>
      </w:r>
      <w:r w:rsidR="00504223" w:rsidRPr="00504223">
        <w:rPr>
          <w:rFonts w:ascii="Cambria" w:hAnsi="Cambria"/>
          <w:color w:val="000000"/>
          <w:lang w:val="en-US"/>
        </w:rPr>
        <w:t xml:space="preserve"> </w:t>
      </w:r>
      <w:r w:rsidRPr="00504223">
        <w:rPr>
          <w:rFonts w:ascii="Cambria" w:hAnsi="Cambria"/>
          <w:color w:val="000000"/>
        </w:rPr>
        <w:t>Terakhir pada nilai perusahaan sektor telecommunication memiliki nilai minimum sebesar -.46, sedangkan nilai maksimum sebesar 28.87, sedangkan nilai rata-rata sebesar 3.8811 dan diperoleh nilai standar deviasi sebesar 5.98549 yang berarti seluruh data sampel Nilai Perusahaan dari 54 perusahaan tidak mengalami fluktuasi yang cukup besar.</w:t>
      </w:r>
    </w:p>
    <w:p w:rsidR="00DA6497" w:rsidRPr="00863F6F" w:rsidRDefault="00504223" w:rsidP="00AF3A1E">
      <w:pPr>
        <w:jc w:val="both"/>
        <w:rPr>
          <w:rFonts w:ascii="Cambria" w:hAnsi="Cambria"/>
          <w:b/>
          <w:bCs/>
          <w:color w:val="000000"/>
          <w:lang w:val="en-US"/>
        </w:rPr>
      </w:pPr>
      <w:r w:rsidRPr="00863F6F">
        <w:rPr>
          <w:rFonts w:ascii="Cambria" w:hAnsi="Cambria"/>
          <w:b/>
          <w:bCs/>
          <w:color w:val="000000"/>
          <w:lang w:val="en-US"/>
        </w:rPr>
        <w:t xml:space="preserve">Uji </w:t>
      </w:r>
      <w:r w:rsidR="00863F6F" w:rsidRPr="00863F6F">
        <w:rPr>
          <w:rFonts w:ascii="Cambria" w:hAnsi="Cambria"/>
          <w:b/>
          <w:bCs/>
          <w:color w:val="000000"/>
          <w:lang w:val="en-US"/>
        </w:rPr>
        <w:t>N</w:t>
      </w:r>
      <w:r w:rsidRPr="00863F6F">
        <w:rPr>
          <w:rFonts w:ascii="Cambria" w:hAnsi="Cambria"/>
          <w:b/>
          <w:bCs/>
          <w:color w:val="000000"/>
          <w:lang w:val="en-US"/>
        </w:rPr>
        <w:t>ormalitas</w:t>
      </w:r>
    </w:p>
    <w:p w:rsidR="00DA6497" w:rsidRPr="00504223" w:rsidRDefault="00840273" w:rsidP="00504223">
      <w:pPr>
        <w:ind w:left="270" w:firstLine="720"/>
        <w:jc w:val="both"/>
        <w:rPr>
          <w:rFonts w:ascii="Cambria" w:hAnsi="Cambria"/>
          <w:color w:val="000000"/>
        </w:rPr>
      </w:pPr>
      <w:r w:rsidRPr="00504223">
        <w:rPr>
          <w:rFonts w:ascii="Cambria" w:eastAsiaTheme="minorHAnsi" w:hAnsi="Cambria"/>
          <w:noProof/>
          <w:lang w:val="en-US"/>
        </w:rPr>
        <w:drawing>
          <wp:anchor distT="0" distB="0" distL="114300" distR="114300" simplePos="0" relativeHeight="251660288" behindDoc="0" locked="0" layoutInCell="1" allowOverlap="1" wp14:anchorId="793E961F" wp14:editId="71120B8F">
            <wp:simplePos x="0" y="0"/>
            <wp:positionH relativeFrom="column">
              <wp:posOffset>-138430</wp:posOffset>
            </wp:positionH>
            <wp:positionV relativeFrom="paragraph">
              <wp:posOffset>105410</wp:posOffset>
            </wp:positionV>
            <wp:extent cx="5862320" cy="2616200"/>
            <wp:effectExtent l="0" t="0" r="508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2320" cy="261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497" w:rsidRPr="00504223" w:rsidRDefault="00DA6497" w:rsidP="00504223">
      <w:pPr>
        <w:ind w:left="270" w:firstLine="720"/>
        <w:jc w:val="both"/>
        <w:rPr>
          <w:rFonts w:ascii="Cambria" w:hAnsi="Cambria"/>
          <w:color w:val="000000"/>
        </w:rPr>
      </w:pPr>
    </w:p>
    <w:p w:rsidR="00DA6497" w:rsidRPr="00504223" w:rsidRDefault="00DA6497" w:rsidP="00504223">
      <w:pPr>
        <w:adjustRightInd w:val="0"/>
        <w:jc w:val="both"/>
        <w:rPr>
          <w:rFonts w:ascii="Cambria" w:hAnsi="Cambria" w:cstheme="majorBidi"/>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Bdr>
          <w:top w:val="nil"/>
          <w:left w:val="nil"/>
          <w:bottom w:val="nil"/>
          <w:right w:val="nil"/>
          <w:between w:val="nil"/>
        </w:pBdr>
        <w:jc w:val="both"/>
        <w:rPr>
          <w:rFonts w:ascii="Cambria" w:hAnsi="Cambria"/>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863F6F" w:rsidRDefault="00AF3A1E" w:rsidP="00AF3A1E">
      <w:pPr>
        <w:pStyle w:val="TeksIsi"/>
        <w:ind w:right="139"/>
        <w:jc w:val="center"/>
        <w:rPr>
          <w:rFonts w:ascii="Cambria" w:hAnsi="Cambria"/>
          <w:b/>
          <w:bCs/>
          <w:sz w:val="24"/>
          <w:szCs w:val="24"/>
          <w:lang w:val="en-US"/>
        </w:rPr>
      </w:pPr>
      <w:r w:rsidRPr="00863F6F">
        <w:rPr>
          <w:rFonts w:ascii="Cambria" w:hAnsi="Cambria"/>
          <w:b/>
          <w:bCs/>
          <w:sz w:val="24"/>
          <w:szCs w:val="24"/>
          <w:lang w:val="en-US"/>
        </w:rPr>
        <w:t>Gambar 2. Hasil Normal Probability Plot</w:t>
      </w:r>
    </w:p>
    <w:p w:rsidR="00DA6497" w:rsidRPr="00863F6F" w:rsidRDefault="00AF3A1E" w:rsidP="00AF3A1E">
      <w:pPr>
        <w:pStyle w:val="TeksIsi"/>
        <w:ind w:right="139"/>
        <w:jc w:val="both"/>
        <w:rPr>
          <w:rFonts w:ascii="Cambria" w:hAnsi="Cambria"/>
          <w:b/>
          <w:bCs/>
          <w:sz w:val="24"/>
          <w:szCs w:val="24"/>
          <w:lang w:val="en-US"/>
        </w:rPr>
      </w:pPr>
      <w:r w:rsidRPr="00863F6F">
        <w:rPr>
          <w:rFonts w:ascii="Cambria" w:hAnsi="Cambria"/>
          <w:b/>
          <w:bCs/>
          <w:sz w:val="24"/>
          <w:szCs w:val="24"/>
          <w:lang w:val="en-US"/>
        </w:rPr>
        <w:t>Uji Heteroskedastisitas</w:t>
      </w:r>
    </w:p>
    <w:p w:rsidR="00DA6497" w:rsidRPr="00504223" w:rsidRDefault="00AF3A1E" w:rsidP="00504223">
      <w:pPr>
        <w:pStyle w:val="TeksIsi"/>
        <w:ind w:left="643" w:right="139" w:firstLine="360"/>
        <w:jc w:val="both"/>
        <w:rPr>
          <w:rFonts w:ascii="Cambria" w:hAnsi="Cambria"/>
          <w:sz w:val="24"/>
          <w:szCs w:val="24"/>
        </w:rPr>
      </w:pPr>
      <w:r w:rsidRPr="00504223">
        <w:rPr>
          <w:rFonts w:ascii="Cambria" w:eastAsiaTheme="minorHAnsi" w:hAnsi="Cambria"/>
          <w:noProof/>
          <w:sz w:val="24"/>
          <w:szCs w:val="24"/>
          <w:lang w:val="en-US"/>
        </w:rPr>
        <w:drawing>
          <wp:anchor distT="0" distB="0" distL="114300" distR="114300" simplePos="0" relativeHeight="251661312" behindDoc="0" locked="0" layoutInCell="1" allowOverlap="1" wp14:anchorId="5C526728" wp14:editId="604C4D42">
            <wp:simplePos x="0" y="0"/>
            <wp:positionH relativeFrom="column">
              <wp:posOffset>3212</wp:posOffset>
            </wp:positionH>
            <wp:positionV relativeFrom="paragraph">
              <wp:posOffset>97827</wp:posOffset>
            </wp:positionV>
            <wp:extent cx="5722620" cy="242123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4138" cy="2430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TeksIsi"/>
        <w:ind w:right="139"/>
        <w:jc w:val="both"/>
        <w:rPr>
          <w:rFonts w:ascii="Cambria" w:hAnsi="Cambria"/>
          <w:sz w:val="24"/>
          <w:szCs w:val="24"/>
        </w:rPr>
      </w:pPr>
    </w:p>
    <w:p w:rsidR="00DA6497" w:rsidRPr="00504223" w:rsidRDefault="00DA6497" w:rsidP="00504223">
      <w:pPr>
        <w:pStyle w:val="TeksIsi"/>
        <w:ind w:left="643" w:right="139" w:firstLine="360"/>
        <w:jc w:val="both"/>
        <w:rPr>
          <w:rFonts w:ascii="Cambria" w:hAnsi="Cambria"/>
          <w:sz w:val="24"/>
          <w:szCs w:val="24"/>
        </w:rPr>
      </w:pPr>
    </w:p>
    <w:p w:rsidR="00DA6497" w:rsidRPr="00504223" w:rsidRDefault="00DA6497" w:rsidP="00504223">
      <w:pPr>
        <w:pStyle w:val="DaftarParagraf"/>
        <w:tabs>
          <w:tab w:val="left" w:pos="4252"/>
        </w:tabs>
        <w:adjustRightInd w:val="0"/>
        <w:spacing w:line="240" w:lineRule="auto"/>
        <w:ind w:left="0"/>
        <w:jc w:val="center"/>
        <w:rPr>
          <w:rFonts w:ascii="Cambria" w:hAnsi="Cambria"/>
          <w:b/>
        </w:rPr>
      </w:pPr>
      <w:r w:rsidRPr="00504223">
        <w:rPr>
          <w:rFonts w:ascii="Cambria" w:hAnsi="Cambria"/>
          <w:b/>
        </w:rPr>
        <w:t xml:space="preserve">Gambar. 2 </w:t>
      </w:r>
    </w:p>
    <w:p w:rsidR="00DA6497" w:rsidRPr="00504223" w:rsidRDefault="00DA6497" w:rsidP="00504223">
      <w:pPr>
        <w:pStyle w:val="DaftarParagraf"/>
        <w:tabs>
          <w:tab w:val="left" w:pos="4252"/>
        </w:tabs>
        <w:adjustRightInd w:val="0"/>
        <w:spacing w:line="240" w:lineRule="auto"/>
        <w:ind w:left="0"/>
        <w:jc w:val="center"/>
        <w:rPr>
          <w:rFonts w:ascii="Cambria" w:hAnsi="Cambria"/>
          <w:b/>
        </w:rPr>
      </w:pPr>
      <w:r w:rsidRPr="00504223">
        <w:rPr>
          <w:rFonts w:ascii="Cambria" w:hAnsi="Cambria"/>
          <w:b/>
        </w:rPr>
        <w:t>Grafik Scatterplot</w:t>
      </w:r>
    </w:p>
    <w:p w:rsidR="00AF3A1E" w:rsidRDefault="00AF3A1E" w:rsidP="00504223">
      <w:pPr>
        <w:pStyle w:val="TeksIsi"/>
        <w:ind w:left="643" w:right="139" w:firstLine="360"/>
        <w:jc w:val="both"/>
        <w:rPr>
          <w:rFonts w:ascii="Cambria" w:hAnsi="Cambria"/>
          <w:sz w:val="24"/>
          <w:szCs w:val="24"/>
        </w:rPr>
      </w:pPr>
    </w:p>
    <w:p w:rsidR="00AF3A1E" w:rsidRDefault="00AF3A1E" w:rsidP="00504223">
      <w:pPr>
        <w:pStyle w:val="TeksIsi"/>
        <w:ind w:left="643" w:right="139" w:firstLine="360"/>
        <w:jc w:val="both"/>
        <w:rPr>
          <w:rFonts w:ascii="Cambria" w:hAnsi="Cambria"/>
          <w:sz w:val="24"/>
          <w:szCs w:val="24"/>
        </w:rPr>
      </w:pPr>
    </w:p>
    <w:p w:rsidR="00AF3A1E" w:rsidRDefault="00AF3A1E" w:rsidP="00504223">
      <w:pPr>
        <w:pStyle w:val="TeksIsi"/>
        <w:ind w:left="643" w:right="139" w:firstLine="360"/>
        <w:jc w:val="both"/>
        <w:rPr>
          <w:rFonts w:ascii="Cambria" w:hAnsi="Cambria"/>
          <w:sz w:val="24"/>
          <w:szCs w:val="24"/>
        </w:rPr>
      </w:pPr>
    </w:p>
    <w:p w:rsidR="00AF3A1E" w:rsidRDefault="00AF3A1E" w:rsidP="00504223">
      <w:pPr>
        <w:pStyle w:val="TeksIsi"/>
        <w:ind w:left="643" w:right="139" w:firstLine="360"/>
        <w:jc w:val="both"/>
        <w:rPr>
          <w:rFonts w:ascii="Cambria" w:hAnsi="Cambria"/>
          <w:sz w:val="24"/>
          <w:szCs w:val="24"/>
        </w:rPr>
      </w:pPr>
    </w:p>
    <w:p w:rsidR="00AF3A1E" w:rsidRDefault="00AF3A1E" w:rsidP="00504223">
      <w:pPr>
        <w:pStyle w:val="TeksIsi"/>
        <w:ind w:left="643" w:right="139" w:firstLine="360"/>
        <w:jc w:val="both"/>
        <w:rPr>
          <w:rFonts w:ascii="Cambria" w:hAnsi="Cambria"/>
          <w:sz w:val="24"/>
          <w:szCs w:val="24"/>
        </w:rPr>
      </w:pPr>
    </w:p>
    <w:p w:rsidR="00AF3A1E" w:rsidRDefault="00AF3A1E" w:rsidP="00504223">
      <w:pPr>
        <w:pStyle w:val="TeksIsi"/>
        <w:ind w:left="643" w:right="139" w:firstLine="360"/>
        <w:jc w:val="both"/>
        <w:rPr>
          <w:rFonts w:ascii="Cambria" w:hAnsi="Cambria"/>
          <w:sz w:val="24"/>
          <w:szCs w:val="24"/>
        </w:rPr>
      </w:pPr>
    </w:p>
    <w:p w:rsidR="00AF3A1E" w:rsidRPr="00863F6F" w:rsidRDefault="00AF3A1E" w:rsidP="00AF3A1E">
      <w:pPr>
        <w:pStyle w:val="TeksIsi"/>
        <w:ind w:right="139"/>
        <w:jc w:val="center"/>
        <w:rPr>
          <w:rFonts w:ascii="Cambria" w:hAnsi="Cambria"/>
          <w:b/>
          <w:bCs/>
          <w:sz w:val="24"/>
          <w:szCs w:val="24"/>
          <w:lang w:val="en-US"/>
        </w:rPr>
      </w:pPr>
      <w:r w:rsidRPr="00863F6F">
        <w:rPr>
          <w:rFonts w:ascii="Cambria" w:hAnsi="Cambria"/>
          <w:b/>
          <w:bCs/>
          <w:sz w:val="24"/>
          <w:szCs w:val="24"/>
          <w:lang w:val="en-US"/>
        </w:rPr>
        <w:t xml:space="preserve">Gambar </w:t>
      </w:r>
      <w:r w:rsidRPr="00863F6F">
        <w:rPr>
          <w:rFonts w:ascii="Cambria" w:hAnsi="Cambria"/>
          <w:b/>
          <w:bCs/>
          <w:sz w:val="24"/>
          <w:szCs w:val="24"/>
          <w:lang w:val="en-US"/>
        </w:rPr>
        <w:t>3</w:t>
      </w:r>
      <w:r w:rsidRPr="00863F6F">
        <w:rPr>
          <w:rFonts w:ascii="Cambria" w:hAnsi="Cambria"/>
          <w:b/>
          <w:bCs/>
          <w:sz w:val="24"/>
          <w:szCs w:val="24"/>
          <w:lang w:val="en-US"/>
        </w:rPr>
        <w:t xml:space="preserve">. Hasil </w:t>
      </w:r>
      <w:r w:rsidRPr="00863F6F">
        <w:rPr>
          <w:rFonts w:ascii="Cambria" w:hAnsi="Cambria"/>
          <w:b/>
          <w:bCs/>
          <w:sz w:val="24"/>
          <w:szCs w:val="24"/>
          <w:lang w:val="en-US"/>
        </w:rPr>
        <w:t>Scatterplot</w:t>
      </w:r>
    </w:p>
    <w:p w:rsidR="00DA6497" w:rsidRDefault="00DA6497" w:rsidP="00AF3A1E">
      <w:pPr>
        <w:pStyle w:val="TeksIsi"/>
        <w:ind w:right="139" w:firstLine="630"/>
        <w:jc w:val="both"/>
        <w:rPr>
          <w:rFonts w:ascii="Cambria" w:hAnsi="Cambria"/>
          <w:sz w:val="24"/>
          <w:szCs w:val="24"/>
        </w:rPr>
      </w:pPr>
      <w:r w:rsidRPr="00504223">
        <w:rPr>
          <w:rFonts w:ascii="Cambria" w:hAnsi="Cambria"/>
          <w:sz w:val="24"/>
          <w:szCs w:val="24"/>
        </w:rPr>
        <w:t>Terlihat bahwa data menyebar tanpa membentuk pola tertentu, sehingga dapat disimpulkan bahwa data tidak memiliki masalah heterokedastisitas.</w:t>
      </w:r>
    </w:p>
    <w:p w:rsidR="00863F6F" w:rsidRDefault="00863F6F" w:rsidP="00AF3A1E">
      <w:pPr>
        <w:pStyle w:val="TeksIsi"/>
        <w:ind w:right="139" w:firstLine="630"/>
        <w:jc w:val="both"/>
        <w:rPr>
          <w:rFonts w:ascii="Cambria" w:hAnsi="Cambria"/>
          <w:sz w:val="24"/>
          <w:szCs w:val="24"/>
        </w:rPr>
      </w:pPr>
    </w:p>
    <w:p w:rsidR="00863F6F" w:rsidRPr="00504223" w:rsidRDefault="00863F6F" w:rsidP="00AF3A1E">
      <w:pPr>
        <w:pStyle w:val="TeksIsi"/>
        <w:ind w:right="139" w:firstLine="630"/>
        <w:jc w:val="both"/>
        <w:rPr>
          <w:rFonts w:ascii="Cambria" w:hAnsi="Cambria"/>
          <w:sz w:val="24"/>
          <w:szCs w:val="24"/>
        </w:rPr>
      </w:pPr>
    </w:p>
    <w:p w:rsidR="00CC6894" w:rsidRDefault="00AF3A1E" w:rsidP="00CC6894">
      <w:pPr>
        <w:adjustRightInd w:val="0"/>
        <w:contextualSpacing/>
        <w:rPr>
          <w:rFonts w:ascii="Cambria" w:hAnsi="Cambria" w:cstheme="majorBidi"/>
          <w:b/>
        </w:rPr>
      </w:pPr>
      <w:r w:rsidRPr="00504223">
        <w:rPr>
          <w:rFonts w:ascii="Cambria" w:hAnsi="Cambria" w:cstheme="majorBidi"/>
          <w:b/>
        </w:rPr>
        <w:lastRenderedPageBreak/>
        <w:t>U</w:t>
      </w:r>
      <w:r w:rsidR="00DA6497" w:rsidRPr="00504223">
        <w:rPr>
          <w:rFonts w:ascii="Cambria" w:hAnsi="Cambria" w:cstheme="majorBidi"/>
          <w:b/>
        </w:rPr>
        <w:t xml:space="preserve">ji </w:t>
      </w:r>
      <w:r w:rsidRPr="00504223">
        <w:rPr>
          <w:rFonts w:ascii="Cambria" w:hAnsi="Cambria" w:cstheme="majorBidi"/>
          <w:b/>
        </w:rPr>
        <w:t>Regresi Berganda</w:t>
      </w:r>
    </w:p>
    <w:p w:rsidR="00CC6894" w:rsidRDefault="00DA6497" w:rsidP="00CC6894">
      <w:pPr>
        <w:adjustRightInd w:val="0"/>
        <w:ind w:firstLine="720"/>
        <w:contextualSpacing/>
        <w:rPr>
          <w:rFonts w:ascii="Cambria" w:hAnsi="Cambria" w:cstheme="majorBidi"/>
          <w:b/>
        </w:rPr>
      </w:pPr>
      <w:r w:rsidRPr="00504223">
        <w:rPr>
          <w:rFonts w:ascii="Cambria" w:hAnsi="Cambria" w:cstheme="minorHAnsi"/>
        </w:rPr>
        <w:t xml:space="preserve">Model regresi berganda digunakan untuk mengetahui ada tidaknya pengaruh antara variabel Profitabilitas dan Likuiditas terhadap Nilai Perusahaan. Hasil uji regresi dapat dilihat pada tabel </w:t>
      </w:r>
      <w:r w:rsidR="00CC6894">
        <w:rPr>
          <w:rFonts w:ascii="Cambria" w:hAnsi="Cambria" w:cstheme="minorHAnsi"/>
          <w:lang w:val="en-US"/>
        </w:rPr>
        <w:t>4</w:t>
      </w:r>
      <w:r w:rsidRPr="00504223">
        <w:rPr>
          <w:rFonts w:ascii="Cambria" w:hAnsi="Cambria" w:cstheme="minorHAnsi"/>
        </w:rPr>
        <w:t>:</w:t>
      </w:r>
    </w:p>
    <w:p w:rsidR="00DA6497" w:rsidRPr="00CC6894" w:rsidRDefault="00DA6497" w:rsidP="00CC6894">
      <w:pPr>
        <w:adjustRightInd w:val="0"/>
        <w:contextualSpacing/>
        <w:jc w:val="center"/>
        <w:rPr>
          <w:rFonts w:ascii="Cambria" w:hAnsi="Cambria" w:cstheme="majorBidi"/>
          <w:b/>
          <w:iCs/>
        </w:rPr>
      </w:pPr>
      <w:r w:rsidRPr="00CC6894">
        <w:rPr>
          <w:rFonts w:ascii="Cambria" w:hAnsi="Cambria"/>
          <w:b/>
          <w:iCs/>
        </w:rPr>
        <w:t xml:space="preserve">Tabel </w:t>
      </w:r>
      <w:r w:rsidR="00CC6894">
        <w:rPr>
          <w:rFonts w:ascii="Cambria" w:hAnsi="Cambria"/>
          <w:b/>
          <w:iCs/>
          <w:lang w:val="en-US"/>
        </w:rPr>
        <w:t>4</w:t>
      </w:r>
      <w:r w:rsidR="00CC6894" w:rsidRPr="00CC6894">
        <w:rPr>
          <w:rFonts w:ascii="Cambria" w:hAnsi="Cambria" w:cstheme="majorBidi"/>
          <w:b/>
          <w:iCs/>
          <w:lang w:val="en-US"/>
        </w:rPr>
        <w:t xml:space="preserve">. </w:t>
      </w:r>
      <w:r w:rsidRPr="00CC6894">
        <w:rPr>
          <w:rFonts w:ascii="Cambria" w:hAnsi="Cambria"/>
          <w:b/>
          <w:iCs/>
        </w:rPr>
        <w:t>Hasil Uji Regresi Berganda</w:t>
      </w:r>
    </w:p>
    <w:tbl>
      <w:tblPr>
        <w:tblW w:w="5000" w:type="pct"/>
        <w:tblBorders>
          <w:insideH w:val="single" w:sz="4" w:space="0" w:color="auto"/>
        </w:tblBorders>
        <w:tblCellMar>
          <w:left w:w="0" w:type="dxa"/>
          <w:right w:w="0" w:type="dxa"/>
        </w:tblCellMar>
        <w:tblLook w:val="0000" w:firstRow="0" w:lastRow="0" w:firstColumn="0" w:lastColumn="0" w:noHBand="0" w:noVBand="0"/>
      </w:tblPr>
      <w:tblGrid>
        <w:gridCol w:w="477"/>
        <w:gridCol w:w="2507"/>
        <w:gridCol w:w="929"/>
        <w:gridCol w:w="1339"/>
        <w:gridCol w:w="1791"/>
        <w:gridCol w:w="1007"/>
        <w:gridCol w:w="1021"/>
      </w:tblGrid>
      <w:tr w:rsidR="00DA6497" w:rsidRPr="00CC6894" w:rsidTr="00363F86">
        <w:trPr>
          <w:cantSplit/>
          <w:trHeight w:val="605"/>
        </w:trPr>
        <w:tc>
          <w:tcPr>
            <w:tcW w:w="1645" w:type="pct"/>
            <w:gridSpan w:val="2"/>
            <w:vMerge w:val="restart"/>
            <w:tcBorders>
              <w:top w:val="single" w:sz="4" w:space="0" w:color="auto"/>
              <w:bottom w:val="single" w:sz="4" w:space="0" w:color="auto"/>
            </w:tcBorders>
            <w:shd w:val="clear" w:color="auto" w:fill="auto"/>
            <w:vAlign w:val="center"/>
          </w:tcPr>
          <w:p w:rsidR="00DA6497" w:rsidRPr="00863F6F" w:rsidRDefault="00DA6497" w:rsidP="00CC6894">
            <w:pPr>
              <w:adjustRightInd w:val="0"/>
              <w:ind w:left="60" w:right="60" w:firstLine="115"/>
              <w:jc w:val="center"/>
              <w:rPr>
                <w:rFonts w:ascii="Cambria" w:eastAsiaTheme="minorHAnsi" w:hAnsi="Cambria"/>
                <w:b/>
                <w:bCs/>
                <w:sz w:val="22"/>
                <w:szCs w:val="22"/>
                <w:lang w:val="en-US"/>
              </w:rPr>
            </w:pPr>
            <w:r w:rsidRPr="00863F6F">
              <w:rPr>
                <w:rFonts w:ascii="Cambria" w:eastAsiaTheme="minorHAnsi" w:hAnsi="Cambria"/>
                <w:b/>
                <w:bCs/>
                <w:sz w:val="22"/>
                <w:szCs w:val="22"/>
                <w:lang w:val="en-US"/>
              </w:rPr>
              <w:t>Model</w:t>
            </w:r>
          </w:p>
        </w:tc>
        <w:tc>
          <w:tcPr>
            <w:tcW w:w="1250" w:type="pct"/>
            <w:gridSpan w:val="2"/>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Unstandardized Coefficients</w:t>
            </w:r>
          </w:p>
        </w:tc>
        <w:tc>
          <w:tcPr>
            <w:tcW w:w="987" w:type="pct"/>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Standardized Coefficients</w:t>
            </w:r>
          </w:p>
        </w:tc>
        <w:tc>
          <w:tcPr>
            <w:tcW w:w="555" w:type="pct"/>
            <w:vMerge w:val="restart"/>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t</w:t>
            </w:r>
          </w:p>
        </w:tc>
        <w:tc>
          <w:tcPr>
            <w:tcW w:w="563" w:type="pct"/>
            <w:vMerge w:val="restart"/>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Sig.</w:t>
            </w:r>
          </w:p>
        </w:tc>
      </w:tr>
      <w:tr w:rsidR="00DA6497" w:rsidRPr="00CC6894" w:rsidTr="00363F86">
        <w:trPr>
          <w:cantSplit/>
          <w:trHeight w:val="295"/>
        </w:trPr>
        <w:tc>
          <w:tcPr>
            <w:tcW w:w="1645" w:type="pct"/>
            <w:gridSpan w:val="2"/>
            <w:vMerge/>
            <w:tcBorders>
              <w:top w:val="single" w:sz="4" w:space="0" w:color="auto"/>
              <w:bottom w:val="single" w:sz="4" w:space="0" w:color="auto"/>
            </w:tcBorders>
            <w:shd w:val="clear" w:color="auto" w:fill="auto"/>
            <w:vAlign w:val="bottom"/>
          </w:tcPr>
          <w:p w:rsidR="00DA6497" w:rsidRPr="00CC6894" w:rsidRDefault="00DA6497" w:rsidP="00CC6894">
            <w:pPr>
              <w:adjustRightInd w:val="0"/>
              <w:rPr>
                <w:rFonts w:ascii="Cambria" w:eastAsiaTheme="minorHAnsi" w:hAnsi="Cambria"/>
                <w:sz w:val="22"/>
                <w:szCs w:val="22"/>
                <w:lang w:val="en-US"/>
              </w:rPr>
            </w:pPr>
          </w:p>
        </w:tc>
        <w:tc>
          <w:tcPr>
            <w:tcW w:w="512" w:type="pct"/>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B</w:t>
            </w:r>
          </w:p>
        </w:tc>
        <w:tc>
          <w:tcPr>
            <w:tcW w:w="738" w:type="pct"/>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Std. Error</w:t>
            </w:r>
          </w:p>
        </w:tc>
        <w:tc>
          <w:tcPr>
            <w:tcW w:w="987" w:type="pct"/>
            <w:tcBorders>
              <w:top w:val="single" w:sz="4" w:space="0" w:color="auto"/>
              <w:bottom w:val="single" w:sz="4" w:space="0" w:color="auto"/>
            </w:tcBorders>
            <w:shd w:val="clear" w:color="auto" w:fill="auto"/>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Beta</w:t>
            </w:r>
          </w:p>
        </w:tc>
        <w:tc>
          <w:tcPr>
            <w:tcW w:w="555" w:type="pct"/>
            <w:vMerge/>
            <w:tcBorders>
              <w:top w:val="single" w:sz="4" w:space="0" w:color="auto"/>
              <w:bottom w:val="single" w:sz="4" w:space="0" w:color="auto"/>
            </w:tcBorders>
            <w:shd w:val="clear" w:color="auto" w:fill="auto"/>
            <w:vAlign w:val="bottom"/>
          </w:tcPr>
          <w:p w:rsidR="00DA6497" w:rsidRPr="00CC6894" w:rsidRDefault="00DA6497" w:rsidP="00CC6894">
            <w:pPr>
              <w:adjustRightInd w:val="0"/>
              <w:rPr>
                <w:rFonts w:ascii="Cambria" w:eastAsiaTheme="minorHAnsi" w:hAnsi="Cambria"/>
                <w:sz w:val="22"/>
                <w:szCs w:val="22"/>
                <w:lang w:val="en-US"/>
              </w:rPr>
            </w:pPr>
          </w:p>
        </w:tc>
        <w:tc>
          <w:tcPr>
            <w:tcW w:w="563" w:type="pct"/>
            <w:vMerge/>
            <w:tcBorders>
              <w:top w:val="single" w:sz="4" w:space="0" w:color="auto"/>
              <w:bottom w:val="single" w:sz="4" w:space="0" w:color="auto"/>
            </w:tcBorders>
            <w:shd w:val="clear" w:color="auto" w:fill="auto"/>
            <w:vAlign w:val="bottom"/>
          </w:tcPr>
          <w:p w:rsidR="00DA6497" w:rsidRPr="00CC6894" w:rsidRDefault="00DA6497" w:rsidP="00CC6894">
            <w:pPr>
              <w:adjustRightInd w:val="0"/>
              <w:rPr>
                <w:rFonts w:ascii="Cambria" w:eastAsiaTheme="minorHAnsi" w:hAnsi="Cambria"/>
                <w:sz w:val="22"/>
                <w:szCs w:val="22"/>
                <w:lang w:val="en-US"/>
              </w:rPr>
            </w:pPr>
          </w:p>
        </w:tc>
      </w:tr>
      <w:tr w:rsidR="00DA6497" w:rsidRPr="00CC6894" w:rsidTr="00363F86">
        <w:trPr>
          <w:cantSplit/>
          <w:trHeight w:val="309"/>
        </w:trPr>
        <w:tc>
          <w:tcPr>
            <w:tcW w:w="263" w:type="pct"/>
            <w:vMerge w:val="restart"/>
            <w:tcBorders>
              <w:top w:val="single" w:sz="4" w:space="0" w:color="auto"/>
              <w:bottom w:val="nil"/>
            </w:tcBorders>
            <w:shd w:val="clear" w:color="auto" w:fill="auto"/>
          </w:tcPr>
          <w:p w:rsidR="00DA6497" w:rsidRPr="00CC6894" w:rsidRDefault="00DA6497" w:rsidP="00CC6894">
            <w:pPr>
              <w:adjustRightInd w:val="0"/>
              <w:ind w:left="60" w:right="60"/>
              <w:rPr>
                <w:rFonts w:ascii="Cambria" w:eastAsiaTheme="minorHAnsi" w:hAnsi="Cambria"/>
                <w:sz w:val="22"/>
                <w:szCs w:val="22"/>
                <w:lang w:val="en-US"/>
              </w:rPr>
            </w:pPr>
            <w:r w:rsidRPr="00CC6894">
              <w:rPr>
                <w:rFonts w:ascii="Cambria" w:eastAsiaTheme="minorHAnsi" w:hAnsi="Cambria"/>
                <w:sz w:val="22"/>
                <w:szCs w:val="22"/>
                <w:lang w:val="en-US"/>
              </w:rPr>
              <w:t>1</w:t>
            </w:r>
          </w:p>
        </w:tc>
        <w:tc>
          <w:tcPr>
            <w:tcW w:w="1382" w:type="pct"/>
            <w:tcBorders>
              <w:top w:val="single" w:sz="4" w:space="0" w:color="auto"/>
              <w:bottom w:val="nil"/>
            </w:tcBorders>
            <w:shd w:val="clear" w:color="auto" w:fill="auto"/>
          </w:tcPr>
          <w:p w:rsidR="00DA6497" w:rsidRPr="00CC6894" w:rsidRDefault="00DA6497" w:rsidP="00CC6894">
            <w:pPr>
              <w:adjustRightInd w:val="0"/>
              <w:ind w:left="60" w:right="60"/>
              <w:rPr>
                <w:rFonts w:ascii="Cambria" w:eastAsiaTheme="minorHAnsi" w:hAnsi="Cambria"/>
                <w:sz w:val="22"/>
                <w:szCs w:val="22"/>
                <w:lang w:val="en-US"/>
              </w:rPr>
            </w:pPr>
            <w:r w:rsidRPr="00CC6894">
              <w:rPr>
                <w:rFonts w:ascii="Cambria" w:eastAsiaTheme="minorHAnsi" w:hAnsi="Cambria"/>
                <w:sz w:val="22"/>
                <w:szCs w:val="22"/>
                <w:lang w:val="en-US"/>
              </w:rPr>
              <w:t>(Constant)</w:t>
            </w:r>
          </w:p>
        </w:tc>
        <w:tc>
          <w:tcPr>
            <w:tcW w:w="512" w:type="pct"/>
            <w:tcBorders>
              <w:top w:val="single" w:sz="4" w:space="0" w:color="auto"/>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1.297</w:t>
            </w:r>
          </w:p>
        </w:tc>
        <w:tc>
          <w:tcPr>
            <w:tcW w:w="738" w:type="pct"/>
            <w:tcBorders>
              <w:top w:val="single" w:sz="4" w:space="0" w:color="auto"/>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1.347</w:t>
            </w:r>
          </w:p>
        </w:tc>
        <w:tc>
          <w:tcPr>
            <w:tcW w:w="987" w:type="pct"/>
            <w:tcBorders>
              <w:top w:val="single" w:sz="4" w:space="0" w:color="auto"/>
              <w:bottom w:val="nil"/>
            </w:tcBorders>
            <w:shd w:val="clear" w:color="auto" w:fill="auto"/>
            <w:vAlign w:val="center"/>
          </w:tcPr>
          <w:p w:rsidR="00DA6497" w:rsidRPr="00CC6894" w:rsidRDefault="00DA6497" w:rsidP="00CC6894">
            <w:pPr>
              <w:adjustRightInd w:val="0"/>
              <w:rPr>
                <w:rFonts w:ascii="Cambria" w:eastAsiaTheme="minorHAnsi" w:hAnsi="Cambria"/>
                <w:sz w:val="22"/>
                <w:szCs w:val="22"/>
                <w:lang w:val="en-US"/>
              </w:rPr>
            </w:pPr>
          </w:p>
        </w:tc>
        <w:tc>
          <w:tcPr>
            <w:tcW w:w="555" w:type="pct"/>
            <w:tcBorders>
              <w:top w:val="single" w:sz="4" w:space="0" w:color="auto"/>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.963</w:t>
            </w:r>
          </w:p>
        </w:tc>
        <w:tc>
          <w:tcPr>
            <w:tcW w:w="563" w:type="pct"/>
            <w:tcBorders>
              <w:top w:val="single" w:sz="4" w:space="0" w:color="auto"/>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.340</w:t>
            </w:r>
          </w:p>
        </w:tc>
      </w:tr>
      <w:tr w:rsidR="00DA6497" w:rsidRPr="00CC6894" w:rsidTr="00363F86">
        <w:trPr>
          <w:cantSplit/>
          <w:trHeight w:val="323"/>
        </w:trPr>
        <w:tc>
          <w:tcPr>
            <w:tcW w:w="263" w:type="pct"/>
            <w:vMerge/>
            <w:tcBorders>
              <w:top w:val="nil"/>
              <w:bottom w:val="nil"/>
            </w:tcBorders>
            <w:shd w:val="clear" w:color="auto" w:fill="auto"/>
          </w:tcPr>
          <w:p w:rsidR="00DA6497" w:rsidRPr="00CC6894" w:rsidRDefault="00DA6497" w:rsidP="00CC6894">
            <w:pPr>
              <w:adjustRightInd w:val="0"/>
              <w:rPr>
                <w:rFonts w:ascii="Cambria" w:eastAsiaTheme="minorHAnsi" w:hAnsi="Cambria"/>
                <w:sz w:val="22"/>
                <w:szCs w:val="22"/>
                <w:lang w:val="en-US"/>
              </w:rPr>
            </w:pPr>
          </w:p>
        </w:tc>
        <w:tc>
          <w:tcPr>
            <w:tcW w:w="1382" w:type="pct"/>
            <w:tcBorders>
              <w:top w:val="nil"/>
              <w:bottom w:val="nil"/>
            </w:tcBorders>
            <w:shd w:val="clear" w:color="auto" w:fill="auto"/>
          </w:tcPr>
          <w:p w:rsidR="00DA6497" w:rsidRPr="00CC6894" w:rsidRDefault="00DA6497" w:rsidP="00CC6894">
            <w:pPr>
              <w:adjustRightInd w:val="0"/>
              <w:ind w:left="60" w:right="60"/>
              <w:rPr>
                <w:rFonts w:ascii="Cambria" w:eastAsiaTheme="minorHAnsi" w:hAnsi="Cambria"/>
                <w:i/>
                <w:sz w:val="22"/>
                <w:szCs w:val="22"/>
                <w:lang w:val="en-US"/>
              </w:rPr>
            </w:pPr>
            <w:r w:rsidRPr="00CC6894">
              <w:rPr>
                <w:rFonts w:ascii="Cambria" w:eastAsiaTheme="minorHAnsi" w:hAnsi="Cambria"/>
                <w:i/>
                <w:sz w:val="22"/>
                <w:szCs w:val="22"/>
                <w:lang w:val="en-US"/>
              </w:rPr>
              <w:t>Debt To Equity Ratio</w:t>
            </w:r>
          </w:p>
        </w:tc>
        <w:tc>
          <w:tcPr>
            <w:tcW w:w="512"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9.608</w:t>
            </w:r>
          </w:p>
        </w:tc>
        <w:tc>
          <w:tcPr>
            <w:tcW w:w="738"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 xml:space="preserve"> 1.741</w:t>
            </w:r>
          </w:p>
        </w:tc>
        <w:tc>
          <w:tcPr>
            <w:tcW w:w="987"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.582</w:t>
            </w:r>
          </w:p>
        </w:tc>
        <w:tc>
          <w:tcPr>
            <w:tcW w:w="555"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5.520</w:t>
            </w:r>
          </w:p>
        </w:tc>
        <w:tc>
          <w:tcPr>
            <w:tcW w:w="563"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.000</w:t>
            </w:r>
          </w:p>
        </w:tc>
      </w:tr>
      <w:tr w:rsidR="00DA6497" w:rsidRPr="00CC6894" w:rsidTr="00363F86">
        <w:trPr>
          <w:cantSplit/>
          <w:trHeight w:val="309"/>
        </w:trPr>
        <w:tc>
          <w:tcPr>
            <w:tcW w:w="263" w:type="pct"/>
            <w:vMerge/>
            <w:tcBorders>
              <w:top w:val="nil"/>
              <w:bottom w:val="nil"/>
            </w:tcBorders>
            <w:shd w:val="clear" w:color="auto" w:fill="auto"/>
          </w:tcPr>
          <w:p w:rsidR="00DA6497" w:rsidRPr="00CC6894" w:rsidRDefault="00DA6497" w:rsidP="00CC6894">
            <w:pPr>
              <w:adjustRightInd w:val="0"/>
              <w:rPr>
                <w:rFonts w:ascii="Cambria" w:eastAsiaTheme="minorHAnsi" w:hAnsi="Cambria"/>
                <w:sz w:val="22"/>
                <w:szCs w:val="22"/>
                <w:lang w:val="en-US"/>
              </w:rPr>
            </w:pPr>
          </w:p>
        </w:tc>
        <w:tc>
          <w:tcPr>
            <w:tcW w:w="1382" w:type="pct"/>
            <w:tcBorders>
              <w:top w:val="nil"/>
              <w:bottom w:val="nil"/>
            </w:tcBorders>
            <w:shd w:val="clear" w:color="auto" w:fill="auto"/>
          </w:tcPr>
          <w:p w:rsidR="00DA6497" w:rsidRPr="00CC6894" w:rsidRDefault="00DA6497" w:rsidP="00CC6894">
            <w:pPr>
              <w:adjustRightInd w:val="0"/>
              <w:ind w:left="60" w:right="60"/>
              <w:rPr>
                <w:rFonts w:ascii="Cambria" w:eastAsiaTheme="minorHAnsi" w:hAnsi="Cambria"/>
                <w:i/>
                <w:sz w:val="22"/>
                <w:szCs w:val="22"/>
                <w:lang w:val="en-US"/>
              </w:rPr>
            </w:pPr>
            <w:r w:rsidRPr="00CC6894">
              <w:rPr>
                <w:rFonts w:ascii="Cambria" w:eastAsiaTheme="minorHAnsi" w:hAnsi="Cambria"/>
                <w:i/>
                <w:sz w:val="22"/>
                <w:szCs w:val="22"/>
                <w:lang w:val="en-US"/>
              </w:rPr>
              <w:t>Earning Per Share</w:t>
            </w:r>
          </w:p>
        </w:tc>
        <w:tc>
          <w:tcPr>
            <w:tcW w:w="512"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1.243</w:t>
            </w:r>
          </w:p>
        </w:tc>
        <w:tc>
          <w:tcPr>
            <w:tcW w:w="738"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.763</w:t>
            </w:r>
          </w:p>
        </w:tc>
        <w:tc>
          <w:tcPr>
            <w:tcW w:w="987"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.021</w:t>
            </w:r>
          </w:p>
        </w:tc>
        <w:tc>
          <w:tcPr>
            <w:tcW w:w="555"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2.422</w:t>
            </w:r>
          </w:p>
        </w:tc>
        <w:tc>
          <w:tcPr>
            <w:tcW w:w="563" w:type="pct"/>
            <w:tcBorders>
              <w:top w:val="nil"/>
              <w:bottom w:val="nil"/>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 000</w:t>
            </w:r>
          </w:p>
        </w:tc>
      </w:tr>
      <w:tr w:rsidR="00DA6497" w:rsidRPr="00CC6894" w:rsidTr="00363F86">
        <w:trPr>
          <w:cantSplit/>
          <w:trHeight w:val="323"/>
        </w:trPr>
        <w:tc>
          <w:tcPr>
            <w:tcW w:w="263" w:type="pct"/>
            <w:vMerge/>
            <w:tcBorders>
              <w:top w:val="nil"/>
              <w:bottom w:val="single" w:sz="4" w:space="0" w:color="auto"/>
            </w:tcBorders>
            <w:shd w:val="clear" w:color="auto" w:fill="auto"/>
          </w:tcPr>
          <w:p w:rsidR="00DA6497" w:rsidRPr="00CC6894" w:rsidRDefault="00DA6497" w:rsidP="00CC6894">
            <w:pPr>
              <w:adjustRightInd w:val="0"/>
              <w:rPr>
                <w:rFonts w:ascii="Cambria" w:eastAsiaTheme="minorHAnsi" w:hAnsi="Cambria"/>
                <w:sz w:val="22"/>
                <w:szCs w:val="22"/>
                <w:lang w:val="en-US"/>
              </w:rPr>
            </w:pPr>
          </w:p>
        </w:tc>
        <w:tc>
          <w:tcPr>
            <w:tcW w:w="1382" w:type="pct"/>
            <w:tcBorders>
              <w:top w:val="nil"/>
              <w:bottom w:val="single" w:sz="4" w:space="0" w:color="auto"/>
            </w:tcBorders>
            <w:shd w:val="clear" w:color="auto" w:fill="auto"/>
          </w:tcPr>
          <w:p w:rsidR="00DA6497" w:rsidRPr="00CC6894" w:rsidRDefault="00DA6497" w:rsidP="00CC6894">
            <w:pPr>
              <w:adjustRightInd w:val="0"/>
              <w:ind w:left="60" w:right="60"/>
              <w:rPr>
                <w:rFonts w:ascii="Cambria" w:eastAsiaTheme="minorHAnsi" w:hAnsi="Cambria"/>
                <w:i/>
                <w:sz w:val="22"/>
                <w:szCs w:val="22"/>
                <w:lang w:val="en-US"/>
              </w:rPr>
            </w:pPr>
            <w:r w:rsidRPr="00CC6894">
              <w:rPr>
                <w:rFonts w:ascii="Cambria" w:eastAsiaTheme="minorHAnsi" w:hAnsi="Cambria"/>
                <w:i/>
                <w:sz w:val="22"/>
                <w:szCs w:val="22"/>
                <w:lang w:val="en-US"/>
              </w:rPr>
              <w:t>Return On Equity</w:t>
            </w:r>
          </w:p>
        </w:tc>
        <w:tc>
          <w:tcPr>
            <w:tcW w:w="512" w:type="pct"/>
            <w:tcBorders>
              <w:top w:val="nil"/>
              <w:bottom w:val="single" w:sz="4" w:space="0" w:color="auto"/>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1.231</w:t>
            </w:r>
          </w:p>
        </w:tc>
        <w:tc>
          <w:tcPr>
            <w:tcW w:w="738" w:type="pct"/>
            <w:tcBorders>
              <w:top w:val="nil"/>
              <w:bottom w:val="single" w:sz="4" w:space="0" w:color="auto"/>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.666</w:t>
            </w:r>
          </w:p>
        </w:tc>
        <w:tc>
          <w:tcPr>
            <w:tcW w:w="987" w:type="pct"/>
            <w:tcBorders>
              <w:top w:val="nil"/>
              <w:bottom w:val="single" w:sz="4" w:space="0" w:color="auto"/>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.204</w:t>
            </w:r>
          </w:p>
        </w:tc>
        <w:tc>
          <w:tcPr>
            <w:tcW w:w="555" w:type="pct"/>
            <w:tcBorders>
              <w:top w:val="nil"/>
              <w:bottom w:val="single" w:sz="4" w:space="0" w:color="auto"/>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3.823</w:t>
            </w:r>
          </w:p>
        </w:tc>
        <w:tc>
          <w:tcPr>
            <w:tcW w:w="563" w:type="pct"/>
            <w:tcBorders>
              <w:top w:val="nil"/>
              <w:bottom w:val="single" w:sz="4" w:space="0" w:color="auto"/>
            </w:tcBorders>
            <w:shd w:val="clear" w:color="auto" w:fill="auto"/>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 000</w:t>
            </w:r>
          </w:p>
        </w:tc>
      </w:tr>
    </w:tbl>
    <w:p w:rsidR="00DA6497" w:rsidRPr="00CC6894" w:rsidRDefault="00CC6894" w:rsidP="00CC6894">
      <w:pPr>
        <w:rPr>
          <w:rFonts w:ascii="Cambria" w:hAnsi="Cambria"/>
          <w:sz w:val="22"/>
          <w:szCs w:val="22"/>
          <w:lang w:val="en-US"/>
        </w:rPr>
      </w:pPr>
      <w:r w:rsidRPr="00CC6894">
        <w:rPr>
          <w:rFonts w:ascii="Cambria" w:hAnsi="Cambria"/>
          <w:sz w:val="22"/>
          <w:szCs w:val="22"/>
          <w:lang w:val="en-US"/>
        </w:rPr>
        <w:t>Sumber: olah</w:t>
      </w:r>
      <w:r>
        <w:rPr>
          <w:rFonts w:ascii="Cambria" w:hAnsi="Cambria"/>
          <w:sz w:val="22"/>
          <w:szCs w:val="22"/>
          <w:lang w:val="en-US"/>
        </w:rPr>
        <w:t xml:space="preserve"> data</w:t>
      </w:r>
      <w:r w:rsidRPr="00CC6894">
        <w:rPr>
          <w:rFonts w:ascii="Cambria" w:hAnsi="Cambria"/>
          <w:sz w:val="22"/>
          <w:szCs w:val="22"/>
          <w:lang w:val="en-US"/>
        </w:rPr>
        <w:t>, 2025</w:t>
      </w:r>
    </w:p>
    <w:p w:rsidR="00CC6894" w:rsidRDefault="00DA6497" w:rsidP="00CC6894">
      <w:pPr>
        <w:ind w:firstLine="630"/>
        <w:rPr>
          <w:rFonts w:ascii="Cambria" w:hAnsi="Cambria"/>
        </w:rPr>
      </w:pPr>
      <w:r w:rsidRPr="00504223">
        <w:rPr>
          <w:rFonts w:ascii="Cambria" w:hAnsi="Cambria"/>
        </w:rPr>
        <w:t xml:space="preserve">Hasil penelitian diketahui nilai konstanta sebesar 1.297 dan nilai koefesien masing - masing variabel sebesar 9.608 untuk Debt To Equity Ratio, 1.568 untuk Earning Per Share, dan 1.243 untuk Return On Equity. Maka model regresi linear berganda untuk penelitian ini adalah sebagai berikut: </w:t>
      </w:r>
    </w:p>
    <w:p w:rsidR="00DA6497" w:rsidRPr="00504223" w:rsidRDefault="00DA6497" w:rsidP="00CC6894">
      <w:pPr>
        <w:ind w:firstLine="630"/>
        <w:jc w:val="center"/>
        <w:rPr>
          <w:rFonts w:ascii="Cambria" w:hAnsi="Cambria"/>
        </w:rPr>
      </w:pPr>
      <w:r w:rsidRPr="00504223">
        <w:rPr>
          <w:rFonts w:ascii="Cambria" w:hAnsi="Cambria"/>
        </w:rPr>
        <w:t>Y       = 1.297+ (9.608 X1 ) + 1.243+ 1.231 X3 + e</w:t>
      </w:r>
    </w:p>
    <w:p w:rsidR="00DA6497" w:rsidRPr="00CC6894" w:rsidRDefault="00CC6894" w:rsidP="00CC6894">
      <w:pPr>
        <w:widowControl w:val="0"/>
        <w:autoSpaceDE w:val="0"/>
        <w:autoSpaceDN w:val="0"/>
        <w:jc w:val="both"/>
        <w:rPr>
          <w:rFonts w:ascii="Cambria" w:hAnsi="Cambria"/>
          <w:b/>
        </w:rPr>
      </w:pPr>
      <w:r w:rsidRPr="00CC6894">
        <w:rPr>
          <w:rFonts w:ascii="Cambria" w:hAnsi="Cambria"/>
          <w:b/>
        </w:rPr>
        <w:t>U</w:t>
      </w:r>
      <w:r w:rsidR="00DA6497" w:rsidRPr="00CC6894">
        <w:rPr>
          <w:rFonts w:ascii="Cambria" w:hAnsi="Cambria"/>
          <w:b/>
        </w:rPr>
        <w:t xml:space="preserve">ji </w:t>
      </w:r>
      <w:r>
        <w:rPr>
          <w:rFonts w:ascii="Cambria" w:hAnsi="Cambria"/>
          <w:b/>
          <w:lang w:val="en-US"/>
        </w:rPr>
        <w:t>F</w:t>
      </w:r>
      <w:r w:rsidR="00DA6497" w:rsidRPr="00CC6894">
        <w:rPr>
          <w:rFonts w:ascii="Cambria" w:hAnsi="Cambria"/>
          <w:b/>
        </w:rPr>
        <w:t xml:space="preserve"> (Simultan)</w:t>
      </w:r>
    </w:p>
    <w:p w:rsidR="00DA6497" w:rsidRPr="00CC6894" w:rsidRDefault="00DA6497" w:rsidP="00CC6894">
      <w:pPr>
        <w:ind w:firstLine="720"/>
        <w:jc w:val="both"/>
        <w:rPr>
          <w:rFonts w:ascii="Cambria" w:hAnsi="Cambria"/>
          <w:lang w:val="en-US"/>
        </w:rPr>
      </w:pPr>
      <w:r w:rsidRPr="00504223">
        <w:rPr>
          <w:rFonts w:ascii="Cambria" w:hAnsi="Cambria"/>
        </w:rPr>
        <w:t xml:space="preserve">Hasil uji F atau uji secara simultan dilakukan untuk menguji apakah variabel bebas (Profitabilitas, Likuiditas, dan Solvabilitas) berpengaruh signifikan secara bersama-sama terhadap variabel terikat (Nilai Perusahaan ). Hasil pengolahan uji simultan dapat dilihat pada tabel </w:t>
      </w:r>
      <w:r w:rsidR="00CC6894">
        <w:rPr>
          <w:rFonts w:ascii="Cambria" w:hAnsi="Cambria"/>
          <w:lang w:val="en-US"/>
        </w:rPr>
        <w:t>5:</w:t>
      </w:r>
    </w:p>
    <w:p w:rsidR="00DA6497" w:rsidRPr="00CC6894" w:rsidRDefault="00DA6497" w:rsidP="00CC6894">
      <w:pPr>
        <w:jc w:val="center"/>
        <w:rPr>
          <w:rFonts w:ascii="Cambria" w:hAnsi="Cambria"/>
          <w:b/>
        </w:rPr>
      </w:pPr>
      <w:r w:rsidRPr="00CC6894">
        <w:rPr>
          <w:rFonts w:ascii="Cambria" w:hAnsi="Cambria"/>
          <w:b/>
        </w:rPr>
        <w:t xml:space="preserve">Tabel </w:t>
      </w:r>
      <w:r w:rsidR="00CC6894" w:rsidRPr="00CC6894">
        <w:rPr>
          <w:rFonts w:ascii="Cambria" w:hAnsi="Cambria"/>
          <w:b/>
          <w:lang w:val="en-US"/>
        </w:rPr>
        <w:t xml:space="preserve">5. </w:t>
      </w:r>
      <w:r w:rsidRPr="00CC6894">
        <w:rPr>
          <w:rFonts w:ascii="Cambria" w:hAnsi="Cambria"/>
          <w:b/>
        </w:rPr>
        <w:t xml:space="preserve">Hasil Uji Simultan (Uji </w:t>
      </w:r>
      <w:r w:rsidR="00CC6894">
        <w:rPr>
          <w:rFonts w:ascii="Cambria" w:hAnsi="Cambria"/>
          <w:b/>
          <w:lang w:val="en-US"/>
        </w:rPr>
        <w:t>F</w:t>
      </w:r>
      <w:r w:rsidRPr="00CC6894">
        <w:rPr>
          <w:rFonts w:ascii="Cambria" w:hAnsi="Cambria"/>
          <w:b/>
        </w:rPr>
        <w:t>)</w:t>
      </w:r>
    </w:p>
    <w:tbl>
      <w:tblPr>
        <w:tblW w:w="5000" w:type="pct"/>
        <w:tblBorders>
          <w:insideH w:val="single" w:sz="4" w:space="0" w:color="auto"/>
        </w:tblBorders>
        <w:tblCellMar>
          <w:left w:w="0" w:type="dxa"/>
          <w:right w:w="0" w:type="dxa"/>
        </w:tblCellMar>
        <w:tblLook w:val="0000" w:firstRow="0" w:lastRow="0" w:firstColumn="0" w:lastColumn="0" w:noHBand="0" w:noVBand="0"/>
      </w:tblPr>
      <w:tblGrid>
        <w:gridCol w:w="834"/>
        <w:gridCol w:w="1460"/>
        <w:gridCol w:w="1673"/>
        <w:gridCol w:w="1167"/>
        <w:gridCol w:w="1602"/>
        <w:gridCol w:w="1167"/>
        <w:gridCol w:w="1168"/>
      </w:tblGrid>
      <w:tr w:rsidR="00DA6497" w:rsidRPr="00CC6894" w:rsidTr="00363F86">
        <w:trPr>
          <w:cantSplit/>
        </w:trPr>
        <w:tc>
          <w:tcPr>
            <w:tcW w:w="1264" w:type="pct"/>
            <w:gridSpan w:val="2"/>
            <w:tcBorders>
              <w:top w:val="single" w:sz="4" w:space="0" w:color="auto"/>
              <w:bottom w:val="single" w:sz="4" w:space="0" w:color="auto"/>
            </w:tcBorders>
            <w:shd w:val="clear" w:color="auto" w:fill="FFFFFF"/>
            <w:vAlign w:val="bottom"/>
          </w:tcPr>
          <w:p w:rsidR="00DA6497" w:rsidRPr="00863F6F" w:rsidRDefault="00DA6497" w:rsidP="00CC6894">
            <w:pPr>
              <w:adjustRightInd w:val="0"/>
              <w:ind w:left="60" w:right="60"/>
              <w:rPr>
                <w:rFonts w:ascii="Cambria" w:eastAsiaTheme="minorHAnsi" w:hAnsi="Cambria"/>
                <w:b/>
                <w:bCs/>
                <w:sz w:val="22"/>
                <w:szCs w:val="22"/>
                <w:lang w:val="en-US"/>
              </w:rPr>
            </w:pPr>
            <w:r w:rsidRPr="00863F6F">
              <w:rPr>
                <w:rFonts w:ascii="Cambria" w:eastAsiaTheme="minorHAnsi" w:hAnsi="Cambria"/>
                <w:b/>
                <w:bCs/>
                <w:sz w:val="22"/>
                <w:szCs w:val="22"/>
                <w:lang w:val="en-US"/>
              </w:rPr>
              <w:t>Model</w:t>
            </w:r>
          </w:p>
        </w:tc>
        <w:tc>
          <w:tcPr>
            <w:tcW w:w="922" w:type="pct"/>
            <w:tcBorders>
              <w:top w:val="single" w:sz="4" w:space="0" w:color="auto"/>
              <w:bottom w:val="single" w:sz="4" w:space="0" w:color="auto"/>
            </w:tcBorders>
            <w:shd w:val="clear" w:color="auto" w:fill="FFFFFF"/>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Sum of Squares</w:t>
            </w:r>
          </w:p>
        </w:tc>
        <w:tc>
          <w:tcPr>
            <w:tcW w:w="643" w:type="pct"/>
            <w:tcBorders>
              <w:top w:val="single" w:sz="4" w:space="0" w:color="auto"/>
              <w:bottom w:val="single" w:sz="4" w:space="0" w:color="auto"/>
            </w:tcBorders>
            <w:shd w:val="clear" w:color="auto" w:fill="FFFFFF"/>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df</w:t>
            </w:r>
          </w:p>
        </w:tc>
        <w:tc>
          <w:tcPr>
            <w:tcW w:w="883" w:type="pct"/>
            <w:tcBorders>
              <w:top w:val="single" w:sz="4" w:space="0" w:color="auto"/>
              <w:bottom w:val="single" w:sz="4" w:space="0" w:color="auto"/>
            </w:tcBorders>
            <w:shd w:val="clear" w:color="auto" w:fill="FFFFFF"/>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Mean Square</w:t>
            </w:r>
          </w:p>
        </w:tc>
        <w:tc>
          <w:tcPr>
            <w:tcW w:w="643" w:type="pct"/>
            <w:tcBorders>
              <w:top w:val="single" w:sz="4" w:space="0" w:color="auto"/>
              <w:bottom w:val="single" w:sz="4" w:space="0" w:color="auto"/>
            </w:tcBorders>
            <w:shd w:val="clear" w:color="auto" w:fill="FFFFFF"/>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F</w:t>
            </w:r>
          </w:p>
        </w:tc>
        <w:tc>
          <w:tcPr>
            <w:tcW w:w="644" w:type="pct"/>
            <w:tcBorders>
              <w:top w:val="single" w:sz="4" w:space="0" w:color="auto"/>
              <w:bottom w:val="single" w:sz="4" w:space="0" w:color="auto"/>
            </w:tcBorders>
            <w:shd w:val="clear" w:color="auto" w:fill="FFFFFF"/>
            <w:vAlign w:val="bottom"/>
          </w:tcPr>
          <w:p w:rsidR="00DA6497" w:rsidRPr="00863F6F" w:rsidRDefault="00DA6497" w:rsidP="00CC6894">
            <w:pPr>
              <w:adjustRightInd w:val="0"/>
              <w:ind w:left="60" w:right="60"/>
              <w:jc w:val="center"/>
              <w:rPr>
                <w:rFonts w:ascii="Cambria" w:eastAsiaTheme="minorHAnsi" w:hAnsi="Cambria"/>
                <w:b/>
                <w:bCs/>
                <w:sz w:val="22"/>
                <w:szCs w:val="22"/>
                <w:lang w:val="en-US"/>
              </w:rPr>
            </w:pPr>
            <w:r w:rsidRPr="00863F6F">
              <w:rPr>
                <w:rFonts w:ascii="Cambria" w:eastAsiaTheme="minorHAnsi" w:hAnsi="Cambria"/>
                <w:b/>
                <w:bCs/>
                <w:sz w:val="22"/>
                <w:szCs w:val="22"/>
                <w:lang w:val="en-US"/>
              </w:rPr>
              <w:t>Sig.</w:t>
            </w:r>
          </w:p>
        </w:tc>
      </w:tr>
      <w:tr w:rsidR="00DA6497" w:rsidRPr="00CC6894" w:rsidTr="00363F86">
        <w:trPr>
          <w:cantSplit/>
        </w:trPr>
        <w:tc>
          <w:tcPr>
            <w:tcW w:w="460" w:type="pct"/>
            <w:vMerge w:val="restart"/>
            <w:tcBorders>
              <w:top w:val="single" w:sz="4" w:space="0" w:color="auto"/>
            </w:tcBorders>
            <w:shd w:val="clear" w:color="auto" w:fill="E0E0E0"/>
          </w:tcPr>
          <w:p w:rsidR="00DA6497" w:rsidRPr="00CC6894" w:rsidRDefault="00DA6497" w:rsidP="00CC6894">
            <w:pPr>
              <w:adjustRightInd w:val="0"/>
              <w:ind w:left="60" w:right="60"/>
              <w:rPr>
                <w:rFonts w:ascii="Cambria" w:eastAsiaTheme="minorHAnsi" w:hAnsi="Cambria"/>
                <w:sz w:val="22"/>
                <w:szCs w:val="22"/>
                <w:lang w:val="en-US"/>
              </w:rPr>
            </w:pPr>
            <w:r w:rsidRPr="00CC6894">
              <w:rPr>
                <w:rFonts w:ascii="Cambria" w:eastAsiaTheme="minorHAnsi" w:hAnsi="Cambria"/>
                <w:sz w:val="22"/>
                <w:szCs w:val="22"/>
                <w:lang w:val="en-US"/>
              </w:rPr>
              <w:t>1</w:t>
            </w:r>
          </w:p>
        </w:tc>
        <w:tc>
          <w:tcPr>
            <w:tcW w:w="805" w:type="pct"/>
            <w:tcBorders>
              <w:top w:val="nil"/>
              <w:bottom w:val="nil"/>
            </w:tcBorders>
            <w:shd w:val="clear" w:color="auto" w:fill="E0E0E0"/>
          </w:tcPr>
          <w:p w:rsidR="00DA6497" w:rsidRPr="00CC6894" w:rsidRDefault="00DA6497" w:rsidP="00CC6894">
            <w:pPr>
              <w:adjustRightInd w:val="0"/>
              <w:ind w:left="60" w:right="60"/>
              <w:rPr>
                <w:rFonts w:ascii="Cambria" w:eastAsiaTheme="minorHAnsi" w:hAnsi="Cambria"/>
                <w:sz w:val="22"/>
                <w:szCs w:val="22"/>
                <w:lang w:val="en-US"/>
              </w:rPr>
            </w:pPr>
            <w:r w:rsidRPr="00CC6894">
              <w:rPr>
                <w:rFonts w:ascii="Cambria" w:eastAsiaTheme="minorHAnsi" w:hAnsi="Cambria"/>
                <w:sz w:val="22"/>
                <w:szCs w:val="22"/>
                <w:lang w:val="en-US"/>
              </w:rPr>
              <w:t>Regression</w:t>
            </w:r>
          </w:p>
        </w:tc>
        <w:tc>
          <w:tcPr>
            <w:tcW w:w="922"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786.056</w:t>
            </w:r>
          </w:p>
        </w:tc>
        <w:tc>
          <w:tcPr>
            <w:tcW w:w="643"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3</w:t>
            </w:r>
          </w:p>
        </w:tc>
        <w:tc>
          <w:tcPr>
            <w:tcW w:w="883"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262.019</w:t>
            </w:r>
          </w:p>
        </w:tc>
        <w:tc>
          <w:tcPr>
            <w:tcW w:w="643"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10.786</w:t>
            </w:r>
          </w:p>
        </w:tc>
        <w:tc>
          <w:tcPr>
            <w:tcW w:w="644"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.000</w:t>
            </w:r>
            <w:r w:rsidRPr="00CC6894">
              <w:rPr>
                <w:rFonts w:ascii="Cambria" w:eastAsiaTheme="minorHAnsi" w:hAnsi="Cambria"/>
                <w:sz w:val="22"/>
                <w:szCs w:val="22"/>
                <w:vertAlign w:val="superscript"/>
                <w:lang w:val="en-US"/>
              </w:rPr>
              <w:t>b</w:t>
            </w:r>
          </w:p>
        </w:tc>
      </w:tr>
      <w:tr w:rsidR="00DA6497" w:rsidRPr="00CC6894" w:rsidTr="00363F86">
        <w:trPr>
          <w:cantSplit/>
        </w:trPr>
        <w:tc>
          <w:tcPr>
            <w:tcW w:w="460" w:type="pct"/>
            <w:vMerge/>
            <w:shd w:val="clear" w:color="auto" w:fill="E0E0E0"/>
          </w:tcPr>
          <w:p w:rsidR="00DA6497" w:rsidRPr="00CC6894" w:rsidRDefault="00DA6497" w:rsidP="00CC6894">
            <w:pPr>
              <w:adjustRightInd w:val="0"/>
              <w:rPr>
                <w:rFonts w:ascii="Cambria" w:eastAsiaTheme="minorHAnsi" w:hAnsi="Cambria"/>
                <w:sz w:val="22"/>
                <w:szCs w:val="22"/>
                <w:lang w:val="en-US"/>
              </w:rPr>
            </w:pPr>
          </w:p>
        </w:tc>
        <w:tc>
          <w:tcPr>
            <w:tcW w:w="805" w:type="pct"/>
            <w:tcBorders>
              <w:top w:val="nil"/>
              <w:bottom w:val="nil"/>
            </w:tcBorders>
            <w:shd w:val="clear" w:color="auto" w:fill="E0E0E0"/>
          </w:tcPr>
          <w:p w:rsidR="00DA6497" w:rsidRPr="00CC6894" w:rsidRDefault="00DA6497" w:rsidP="00CC6894">
            <w:pPr>
              <w:adjustRightInd w:val="0"/>
              <w:ind w:left="60" w:right="60"/>
              <w:rPr>
                <w:rFonts w:ascii="Cambria" w:eastAsiaTheme="minorHAnsi" w:hAnsi="Cambria"/>
                <w:sz w:val="22"/>
                <w:szCs w:val="22"/>
                <w:lang w:val="en-US"/>
              </w:rPr>
            </w:pPr>
            <w:r w:rsidRPr="00CC6894">
              <w:rPr>
                <w:rFonts w:ascii="Cambria" w:eastAsiaTheme="minorHAnsi" w:hAnsi="Cambria"/>
                <w:sz w:val="22"/>
                <w:szCs w:val="22"/>
                <w:lang w:val="en-US"/>
              </w:rPr>
              <w:t>Residual</w:t>
            </w:r>
          </w:p>
        </w:tc>
        <w:tc>
          <w:tcPr>
            <w:tcW w:w="922"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1470.991</w:t>
            </w:r>
          </w:p>
        </w:tc>
        <w:tc>
          <w:tcPr>
            <w:tcW w:w="643"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50</w:t>
            </w:r>
          </w:p>
        </w:tc>
        <w:tc>
          <w:tcPr>
            <w:tcW w:w="883" w:type="pct"/>
            <w:tcBorders>
              <w:top w:val="nil"/>
              <w:bottom w:val="nil"/>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24.517</w:t>
            </w:r>
          </w:p>
        </w:tc>
        <w:tc>
          <w:tcPr>
            <w:tcW w:w="643" w:type="pct"/>
            <w:tcBorders>
              <w:top w:val="nil"/>
              <w:bottom w:val="nil"/>
            </w:tcBorders>
            <w:shd w:val="clear" w:color="auto" w:fill="FFFFFF"/>
            <w:vAlign w:val="center"/>
          </w:tcPr>
          <w:p w:rsidR="00DA6497" w:rsidRPr="00CC6894" w:rsidRDefault="00DA6497" w:rsidP="00CC6894">
            <w:pPr>
              <w:adjustRightInd w:val="0"/>
              <w:rPr>
                <w:rFonts w:ascii="Cambria" w:eastAsiaTheme="minorHAnsi" w:hAnsi="Cambria"/>
                <w:sz w:val="22"/>
                <w:szCs w:val="22"/>
                <w:lang w:val="en-US"/>
              </w:rPr>
            </w:pPr>
          </w:p>
        </w:tc>
        <w:tc>
          <w:tcPr>
            <w:tcW w:w="644" w:type="pct"/>
            <w:tcBorders>
              <w:top w:val="nil"/>
              <w:bottom w:val="nil"/>
            </w:tcBorders>
            <w:shd w:val="clear" w:color="auto" w:fill="FFFFFF"/>
            <w:vAlign w:val="center"/>
          </w:tcPr>
          <w:p w:rsidR="00DA6497" w:rsidRPr="00CC6894" w:rsidRDefault="00DA6497" w:rsidP="00CC6894">
            <w:pPr>
              <w:adjustRightInd w:val="0"/>
              <w:rPr>
                <w:rFonts w:ascii="Cambria" w:eastAsiaTheme="minorHAnsi" w:hAnsi="Cambria"/>
                <w:sz w:val="22"/>
                <w:szCs w:val="22"/>
                <w:lang w:val="en-US"/>
              </w:rPr>
            </w:pPr>
          </w:p>
        </w:tc>
      </w:tr>
      <w:tr w:rsidR="00DA6497" w:rsidRPr="00CC6894" w:rsidTr="00363F86">
        <w:trPr>
          <w:cantSplit/>
        </w:trPr>
        <w:tc>
          <w:tcPr>
            <w:tcW w:w="460" w:type="pct"/>
            <w:vMerge/>
            <w:tcBorders>
              <w:bottom w:val="single" w:sz="4" w:space="0" w:color="auto"/>
            </w:tcBorders>
            <w:shd w:val="clear" w:color="auto" w:fill="E0E0E0"/>
          </w:tcPr>
          <w:p w:rsidR="00DA6497" w:rsidRPr="00CC6894" w:rsidRDefault="00DA6497" w:rsidP="00CC6894">
            <w:pPr>
              <w:adjustRightInd w:val="0"/>
              <w:rPr>
                <w:rFonts w:ascii="Cambria" w:eastAsiaTheme="minorHAnsi" w:hAnsi="Cambria"/>
                <w:sz w:val="22"/>
                <w:szCs w:val="22"/>
                <w:lang w:val="en-US"/>
              </w:rPr>
            </w:pPr>
          </w:p>
        </w:tc>
        <w:tc>
          <w:tcPr>
            <w:tcW w:w="805" w:type="pct"/>
            <w:tcBorders>
              <w:top w:val="nil"/>
              <w:bottom w:val="single" w:sz="4" w:space="0" w:color="auto"/>
            </w:tcBorders>
            <w:shd w:val="clear" w:color="auto" w:fill="E0E0E0"/>
          </w:tcPr>
          <w:p w:rsidR="00DA6497" w:rsidRPr="00CC6894" w:rsidRDefault="00DA6497" w:rsidP="00CC6894">
            <w:pPr>
              <w:adjustRightInd w:val="0"/>
              <w:ind w:left="60" w:right="60"/>
              <w:rPr>
                <w:rFonts w:ascii="Cambria" w:eastAsiaTheme="minorHAnsi" w:hAnsi="Cambria"/>
                <w:sz w:val="22"/>
                <w:szCs w:val="22"/>
                <w:lang w:val="en-US"/>
              </w:rPr>
            </w:pPr>
            <w:r w:rsidRPr="00CC6894">
              <w:rPr>
                <w:rFonts w:ascii="Cambria" w:eastAsiaTheme="minorHAnsi" w:hAnsi="Cambria"/>
                <w:sz w:val="22"/>
                <w:szCs w:val="22"/>
                <w:lang w:val="en-US"/>
              </w:rPr>
              <w:t>Total</w:t>
            </w:r>
          </w:p>
        </w:tc>
        <w:tc>
          <w:tcPr>
            <w:tcW w:w="922" w:type="pct"/>
            <w:tcBorders>
              <w:top w:val="nil"/>
              <w:bottom w:val="single" w:sz="4" w:space="0" w:color="auto"/>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2259.047</w:t>
            </w:r>
          </w:p>
        </w:tc>
        <w:tc>
          <w:tcPr>
            <w:tcW w:w="643" w:type="pct"/>
            <w:tcBorders>
              <w:top w:val="nil"/>
              <w:bottom w:val="single" w:sz="4" w:space="0" w:color="auto"/>
            </w:tcBorders>
            <w:shd w:val="clear" w:color="auto" w:fill="FFFFFF"/>
          </w:tcPr>
          <w:p w:rsidR="00DA6497" w:rsidRPr="00CC6894" w:rsidRDefault="00DA6497" w:rsidP="00CC6894">
            <w:pPr>
              <w:adjustRightInd w:val="0"/>
              <w:ind w:left="60" w:right="60"/>
              <w:jc w:val="right"/>
              <w:rPr>
                <w:rFonts w:ascii="Cambria" w:eastAsiaTheme="minorHAnsi" w:hAnsi="Cambria"/>
                <w:sz w:val="22"/>
                <w:szCs w:val="22"/>
                <w:lang w:val="en-US"/>
              </w:rPr>
            </w:pPr>
            <w:r w:rsidRPr="00CC6894">
              <w:rPr>
                <w:rFonts w:ascii="Cambria" w:eastAsiaTheme="minorHAnsi" w:hAnsi="Cambria"/>
                <w:sz w:val="22"/>
                <w:szCs w:val="22"/>
                <w:lang w:val="en-US"/>
              </w:rPr>
              <w:t>53</w:t>
            </w:r>
          </w:p>
        </w:tc>
        <w:tc>
          <w:tcPr>
            <w:tcW w:w="883" w:type="pct"/>
            <w:tcBorders>
              <w:top w:val="nil"/>
              <w:bottom w:val="single" w:sz="4" w:space="0" w:color="auto"/>
            </w:tcBorders>
            <w:shd w:val="clear" w:color="auto" w:fill="FFFFFF"/>
            <w:vAlign w:val="center"/>
          </w:tcPr>
          <w:p w:rsidR="00DA6497" w:rsidRPr="00CC6894" w:rsidRDefault="00DA6497" w:rsidP="00CC6894">
            <w:pPr>
              <w:adjustRightInd w:val="0"/>
              <w:rPr>
                <w:rFonts w:ascii="Cambria" w:eastAsiaTheme="minorHAnsi" w:hAnsi="Cambria"/>
                <w:sz w:val="22"/>
                <w:szCs w:val="22"/>
                <w:lang w:val="en-US"/>
              </w:rPr>
            </w:pPr>
          </w:p>
        </w:tc>
        <w:tc>
          <w:tcPr>
            <w:tcW w:w="643" w:type="pct"/>
            <w:tcBorders>
              <w:top w:val="nil"/>
              <w:bottom w:val="single" w:sz="4" w:space="0" w:color="auto"/>
            </w:tcBorders>
            <w:shd w:val="clear" w:color="auto" w:fill="FFFFFF"/>
            <w:vAlign w:val="center"/>
          </w:tcPr>
          <w:p w:rsidR="00DA6497" w:rsidRPr="00CC6894" w:rsidRDefault="00DA6497" w:rsidP="00CC6894">
            <w:pPr>
              <w:adjustRightInd w:val="0"/>
              <w:rPr>
                <w:rFonts w:ascii="Cambria" w:eastAsiaTheme="minorHAnsi" w:hAnsi="Cambria"/>
                <w:sz w:val="22"/>
                <w:szCs w:val="22"/>
                <w:lang w:val="en-US"/>
              </w:rPr>
            </w:pPr>
          </w:p>
        </w:tc>
        <w:tc>
          <w:tcPr>
            <w:tcW w:w="644" w:type="pct"/>
            <w:tcBorders>
              <w:top w:val="nil"/>
              <w:bottom w:val="single" w:sz="4" w:space="0" w:color="auto"/>
            </w:tcBorders>
            <w:shd w:val="clear" w:color="auto" w:fill="FFFFFF"/>
            <w:vAlign w:val="center"/>
          </w:tcPr>
          <w:p w:rsidR="00DA6497" w:rsidRPr="00CC6894" w:rsidRDefault="00DA6497" w:rsidP="00CC6894">
            <w:pPr>
              <w:adjustRightInd w:val="0"/>
              <w:rPr>
                <w:rFonts w:ascii="Cambria" w:eastAsiaTheme="minorHAnsi" w:hAnsi="Cambria"/>
                <w:sz w:val="22"/>
                <w:szCs w:val="22"/>
                <w:lang w:val="en-US"/>
              </w:rPr>
            </w:pPr>
          </w:p>
        </w:tc>
      </w:tr>
    </w:tbl>
    <w:p w:rsidR="00CC6894" w:rsidRPr="00CC6894" w:rsidRDefault="00CC6894" w:rsidP="00CC6894">
      <w:pPr>
        <w:rPr>
          <w:rFonts w:ascii="Cambria" w:hAnsi="Cambria"/>
          <w:sz w:val="22"/>
          <w:szCs w:val="22"/>
          <w:lang w:val="en-US"/>
        </w:rPr>
      </w:pPr>
      <w:r w:rsidRPr="00CC6894">
        <w:rPr>
          <w:rFonts w:ascii="Cambria" w:hAnsi="Cambria"/>
          <w:sz w:val="22"/>
          <w:szCs w:val="22"/>
          <w:lang w:val="en-US"/>
        </w:rPr>
        <w:t>Sumber: olah</w:t>
      </w:r>
      <w:r>
        <w:rPr>
          <w:rFonts w:ascii="Cambria" w:hAnsi="Cambria"/>
          <w:sz w:val="22"/>
          <w:szCs w:val="22"/>
          <w:lang w:val="en-US"/>
        </w:rPr>
        <w:t xml:space="preserve"> data</w:t>
      </w:r>
      <w:r w:rsidRPr="00CC6894">
        <w:rPr>
          <w:rFonts w:ascii="Cambria" w:hAnsi="Cambria"/>
          <w:sz w:val="22"/>
          <w:szCs w:val="22"/>
          <w:lang w:val="en-US"/>
        </w:rPr>
        <w:t>, 2025</w:t>
      </w:r>
    </w:p>
    <w:p w:rsidR="00DA6497" w:rsidRPr="00CC6894" w:rsidRDefault="00DA6497" w:rsidP="00CC6894">
      <w:pPr>
        <w:ind w:firstLine="630"/>
        <w:jc w:val="both"/>
        <w:rPr>
          <w:rFonts w:ascii="Cambria" w:hAnsi="Cambria"/>
          <w:iCs/>
        </w:rPr>
      </w:pPr>
      <w:r w:rsidRPr="00CC6894">
        <w:rPr>
          <w:rFonts w:ascii="Cambria" w:hAnsi="Cambria"/>
          <w:iCs/>
        </w:rPr>
        <w:t>Berdasarkan hasil penelitian pada tabel IV.6 diketahui bahwa nilai signifikansi sebesar 0,000 &lt; 0,05, sehingga dapat dikatakan bahwa secara simultan terdapat pengaruh sangat signifikan variabel Debt To Equity Ratio, Earning Per Share dan Return On Equity terhadap Nilai Perusahaan.</w:t>
      </w:r>
    </w:p>
    <w:p w:rsidR="00DA6497" w:rsidRPr="00504223" w:rsidRDefault="00CC6894" w:rsidP="00CC6894">
      <w:pPr>
        <w:jc w:val="both"/>
        <w:rPr>
          <w:rFonts w:ascii="Cambria" w:hAnsi="Cambria"/>
          <w:b/>
        </w:rPr>
      </w:pPr>
      <w:r w:rsidRPr="00504223">
        <w:rPr>
          <w:rFonts w:ascii="Cambria" w:hAnsi="Cambria"/>
          <w:b/>
        </w:rPr>
        <w:t>U</w:t>
      </w:r>
      <w:r w:rsidR="00DA6497" w:rsidRPr="00504223">
        <w:rPr>
          <w:rFonts w:ascii="Cambria" w:hAnsi="Cambria"/>
          <w:b/>
        </w:rPr>
        <w:t>ji t (Parsial)</w:t>
      </w:r>
    </w:p>
    <w:p w:rsidR="00DA6497" w:rsidRPr="00504223" w:rsidRDefault="00DA6497" w:rsidP="00CC6894">
      <w:pPr>
        <w:ind w:firstLine="720"/>
        <w:jc w:val="both"/>
        <w:rPr>
          <w:rFonts w:ascii="Cambria" w:hAnsi="Cambria"/>
        </w:rPr>
      </w:pPr>
      <w:r w:rsidRPr="00504223">
        <w:rPr>
          <w:rFonts w:ascii="Cambria" w:hAnsi="Cambria"/>
        </w:rPr>
        <w:t xml:space="preserve">Uji parsial dilakukan untuk melihat pengaruh masing-masing variabel bebas terhadap variabel terikat. Hasil Uji parsial dapat dilihat pada tabel </w:t>
      </w:r>
      <w:r w:rsidR="00CC6894">
        <w:rPr>
          <w:rFonts w:ascii="Cambria" w:hAnsi="Cambria"/>
          <w:lang w:val="en-US"/>
        </w:rPr>
        <w:t>6</w:t>
      </w:r>
      <w:r w:rsidRPr="00504223">
        <w:rPr>
          <w:rFonts w:ascii="Cambria" w:hAnsi="Cambria"/>
        </w:rPr>
        <w:t>:</w:t>
      </w:r>
    </w:p>
    <w:p w:rsidR="00DA6497" w:rsidRDefault="00DA6497" w:rsidP="00CC6894">
      <w:pPr>
        <w:adjustRightInd w:val="0"/>
        <w:ind w:left="-180"/>
        <w:jc w:val="center"/>
        <w:rPr>
          <w:rFonts w:ascii="Cambria" w:hAnsi="Cambria" w:cstheme="minorHAnsi"/>
          <w:b/>
        </w:rPr>
      </w:pPr>
      <w:r w:rsidRPr="00504223">
        <w:rPr>
          <w:rFonts w:ascii="Cambria" w:hAnsi="Cambria" w:cstheme="minorHAnsi"/>
          <w:b/>
        </w:rPr>
        <w:t xml:space="preserve">Tabel </w:t>
      </w:r>
      <w:r w:rsidR="00CC6894">
        <w:rPr>
          <w:rFonts w:ascii="Cambria" w:hAnsi="Cambria" w:cstheme="minorHAnsi"/>
          <w:b/>
          <w:lang w:val="en-US"/>
        </w:rPr>
        <w:t xml:space="preserve">6. </w:t>
      </w:r>
      <w:r w:rsidRPr="00504223">
        <w:rPr>
          <w:rFonts w:ascii="Cambria" w:hAnsi="Cambria" w:cstheme="minorHAnsi"/>
          <w:b/>
        </w:rPr>
        <w:t>Hasil Persial (Uji t)</w:t>
      </w:r>
    </w:p>
    <w:tbl>
      <w:tblPr>
        <w:tblStyle w:val="KisiTabel"/>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3082"/>
        <w:gridCol w:w="3084"/>
      </w:tblGrid>
      <w:tr w:rsidR="00CC6894" w:rsidRPr="00CC6894" w:rsidTr="00363F86">
        <w:tc>
          <w:tcPr>
            <w:tcW w:w="1601" w:type="pct"/>
            <w:tcBorders>
              <w:top w:val="single" w:sz="4" w:space="0" w:color="auto"/>
              <w:bottom w:val="single" w:sz="4" w:space="0" w:color="auto"/>
            </w:tcBorders>
          </w:tcPr>
          <w:p w:rsidR="00CC6894" w:rsidRPr="00CC6894" w:rsidRDefault="00CC6894" w:rsidP="00CC6894">
            <w:pPr>
              <w:adjustRightInd w:val="0"/>
              <w:jc w:val="center"/>
              <w:rPr>
                <w:rFonts w:ascii="Cambria" w:hAnsi="Cambria" w:cstheme="minorHAnsi"/>
                <w:b/>
                <w:sz w:val="22"/>
                <w:szCs w:val="22"/>
              </w:rPr>
            </w:pPr>
            <w:r w:rsidRPr="00CC6894">
              <w:rPr>
                <w:rFonts w:ascii="Cambria" w:hAnsi="Cambria" w:cstheme="minorHAnsi"/>
                <w:b/>
                <w:sz w:val="22"/>
                <w:szCs w:val="22"/>
              </w:rPr>
              <w:t xml:space="preserve">Model </w:t>
            </w:r>
          </w:p>
        </w:tc>
        <w:tc>
          <w:tcPr>
            <w:tcW w:w="1699" w:type="pct"/>
            <w:tcBorders>
              <w:top w:val="single" w:sz="4" w:space="0" w:color="auto"/>
              <w:bottom w:val="single" w:sz="4" w:space="0" w:color="auto"/>
            </w:tcBorders>
          </w:tcPr>
          <w:p w:rsidR="00CC6894" w:rsidRPr="00CC6894" w:rsidRDefault="00CC6894" w:rsidP="00CC6894">
            <w:pPr>
              <w:adjustRightInd w:val="0"/>
              <w:jc w:val="center"/>
              <w:rPr>
                <w:rFonts w:ascii="Cambria" w:hAnsi="Cambria" w:cstheme="minorHAnsi"/>
                <w:b/>
                <w:sz w:val="22"/>
                <w:szCs w:val="22"/>
              </w:rPr>
            </w:pPr>
            <w:r w:rsidRPr="00CC6894">
              <w:rPr>
                <w:rFonts w:ascii="Cambria" w:hAnsi="Cambria" w:cstheme="minorHAnsi"/>
                <w:b/>
                <w:sz w:val="22"/>
                <w:szCs w:val="22"/>
              </w:rPr>
              <w:t>t</w:t>
            </w:r>
          </w:p>
        </w:tc>
        <w:tc>
          <w:tcPr>
            <w:tcW w:w="1700" w:type="pct"/>
            <w:tcBorders>
              <w:top w:val="single" w:sz="4" w:space="0" w:color="auto"/>
              <w:bottom w:val="single" w:sz="4" w:space="0" w:color="auto"/>
            </w:tcBorders>
          </w:tcPr>
          <w:p w:rsidR="00CC6894" w:rsidRPr="00CC6894" w:rsidRDefault="00CC6894" w:rsidP="00CC6894">
            <w:pPr>
              <w:adjustRightInd w:val="0"/>
              <w:jc w:val="center"/>
              <w:rPr>
                <w:rFonts w:ascii="Cambria" w:hAnsi="Cambria" w:cstheme="minorHAnsi"/>
                <w:b/>
                <w:sz w:val="22"/>
                <w:szCs w:val="22"/>
              </w:rPr>
            </w:pPr>
            <w:r w:rsidRPr="00CC6894">
              <w:rPr>
                <w:rFonts w:ascii="Cambria" w:hAnsi="Cambria" w:cstheme="minorHAnsi"/>
                <w:b/>
                <w:sz w:val="22"/>
                <w:szCs w:val="22"/>
              </w:rPr>
              <w:t xml:space="preserve">Sig </w:t>
            </w:r>
          </w:p>
        </w:tc>
      </w:tr>
      <w:tr w:rsidR="00CC6894" w:rsidRPr="00CC6894" w:rsidTr="00363F86">
        <w:tc>
          <w:tcPr>
            <w:tcW w:w="1601" w:type="pct"/>
            <w:tcBorders>
              <w:top w:val="single" w:sz="4" w:space="0" w:color="auto"/>
            </w:tcBorders>
          </w:tcPr>
          <w:p w:rsidR="00CC6894" w:rsidRPr="00CC6894" w:rsidRDefault="00CC6894" w:rsidP="00CC6894">
            <w:pPr>
              <w:adjustRightInd w:val="0"/>
              <w:ind w:left="60" w:right="60"/>
              <w:rPr>
                <w:rFonts w:ascii="Cambria" w:eastAsiaTheme="minorHAnsi" w:hAnsi="Cambria"/>
                <w:sz w:val="22"/>
                <w:szCs w:val="22"/>
              </w:rPr>
            </w:pPr>
            <w:r w:rsidRPr="00CC6894">
              <w:rPr>
                <w:rFonts w:ascii="Cambria" w:eastAsiaTheme="minorHAnsi" w:hAnsi="Cambria"/>
                <w:sz w:val="22"/>
                <w:szCs w:val="22"/>
              </w:rPr>
              <w:t>(Constant)</w:t>
            </w:r>
          </w:p>
        </w:tc>
        <w:tc>
          <w:tcPr>
            <w:tcW w:w="1699" w:type="pct"/>
            <w:tcBorders>
              <w:top w:val="single" w:sz="4" w:space="0" w:color="auto"/>
            </w:tcBorders>
          </w:tcPr>
          <w:p w:rsidR="00CC6894" w:rsidRPr="00CC6894" w:rsidRDefault="00CC6894" w:rsidP="00CC6894">
            <w:pPr>
              <w:jc w:val="center"/>
              <w:rPr>
                <w:rFonts w:ascii="Cambria" w:hAnsi="Cambria"/>
                <w:sz w:val="22"/>
                <w:szCs w:val="22"/>
              </w:rPr>
            </w:pPr>
            <w:r w:rsidRPr="00CC6894">
              <w:rPr>
                <w:rFonts w:ascii="Cambria" w:hAnsi="Cambria"/>
                <w:sz w:val="22"/>
                <w:szCs w:val="22"/>
              </w:rPr>
              <w:t>.963</w:t>
            </w:r>
          </w:p>
        </w:tc>
        <w:tc>
          <w:tcPr>
            <w:tcW w:w="1700" w:type="pct"/>
            <w:tcBorders>
              <w:top w:val="single" w:sz="4" w:space="0" w:color="auto"/>
            </w:tcBorders>
          </w:tcPr>
          <w:p w:rsidR="00CC6894" w:rsidRPr="00CC6894" w:rsidRDefault="00CC6894" w:rsidP="00CC6894">
            <w:pPr>
              <w:adjustRightInd w:val="0"/>
              <w:ind w:left="60" w:right="60"/>
              <w:jc w:val="center"/>
              <w:rPr>
                <w:rFonts w:ascii="Cambria" w:eastAsiaTheme="minorHAnsi" w:hAnsi="Cambria"/>
                <w:sz w:val="22"/>
                <w:szCs w:val="22"/>
              </w:rPr>
            </w:pPr>
            <w:r w:rsidRPr="00CC6894">
              <w:rPr>
                <w:rFonts w:ascii="Cambria" w:eastAsiaTheme="minorHAnsi" w:hAnsi="Cambria"/>
                <w:sz w:val="22"/>
                <w:szCs w:val="22"/>
              </w:rPr>
              <w:t>.340</w:t>
            </w:r>
          </w:p>
        </w:tc>
      </w:tr>
      <w:tr w:rsidR="00CC6894" w:rsidRPr="00CC6894" w:rsidTr="00363F86">
        <w:tc>
          <w:tcPr>
            <w:tcW w:w="1601" w:type="pct"/>
          </w:tcPr>
          <w:p w:rsidR="00CC6894" w:rsidRPr="00CC6894" w:rsidRDefault="00CC6894" w:rsidP="00CC6894">
            <w:pPr>
              <w:adjustRightInd w:val="0"/>
              <w:ind w:left="60" w:right="60"/>
              <w:rPr>
                <w:rFonts w:ascii="Cambria" w:eastAsiaTheme="minorHAnsi" w:hAnsi="Cambria"/>
                <w:i/>
                <w:sz w:val="22"/>
                <w:szCs w:val="22"/>
              </w:rPr>
            </w:pPr>
            <w:r w:rsidRPr="00CC6894">
              <w:rPr>
                <w:rFonts w:ascii="Cambria" w:eastAsiaTheme="minorHAnsi" w:hAnsi="Cambria"/>
                <w:i/>
                <w:sz w:val="22"/>
                <w:szCs w:val="22"/>
              </w:rPr>
              <w:t>Debt To Equity Ratio</w:t>
            </w:r>
          </w:p>
        </w:tc>
        <w:tc>
          <w:tcPr>
            <w:tcW w:w="1699" w:type="pct"/>
          </w:tcPr>
          <w:p w:rsidR="00CC6894" w:rsidRPr="00CC6894" w:rsidRDefault="00CC6894" w:rsidP="00CC6894">
            <w:pPr>
              <w:jc w:val="center"/>
              <w:rPr>
                <w:rFonts w:ascii="Cambria" w:hAnsi="Cambria"/>
                <w:sz w:val="22"/>
                <w:szCs w:val="22"/>
              </w:rPr>
            </w:pPr>
            <w:r w:rsidRPr="00CC6894">
              <w:rPr>
                <w:rFonts w:ascii="Cambria" w:hAnsi="Cambria"/>
                <w:sz w:val="22"/>
                <w:szCs w:val="22"/>
              </w:rPr>
              <w:t>5.520</w:t>
            </w:r>
          </w:p>
        </w:tc>
        <w:tc>
          <w:tcPr>
            <w:tcW w:w="1700" w:type="pct"/>
          </w:tcPr>
          <w:p w:rsidR="00CC6894" w:rsidRPr="00CC6894" w:rsidRDefault="00CC6894" w:rsidP="00CC6894">
            <w:pPr>
              <w:adjustRightInd w:val="0"/>
              <w:ind w:left="60" w:right="60"/>
              <w:jc w:val="center"/>
              <w:rPr>
                <w:rFonts w:ascii="Cambria" w:eastAsiaTheme="minorHAnsi" w:hAnsi="Cambria"/>
                <w:sz w:val="22"/>
                <w:szCs w:val="22"/>
              </w:rPr>
            </w:pPr>
            <w:r w:rsidRPr="00CC6894">
              <w:rPr>
                <w:rFonts w:ascii="Cambria" w:eastAsiaTheme="minorHAnsi" w:hAnsi="Cambria"/>
                <w:sz w:val="22"/>
                <w:szCs w:val="22"/>
              </w:rPr>
              <w:t>.000</w:t>
            </w:r>
          </w:p>
        </w:tc>
      </w:tr>
      <w:tr w:rsidR="00CC6894" w:rsidRPr="00CC6894" w:rsidTr="00363F86">
        <w:tc>
          <w:tcPr>
            <w:tcW w:w="1601" w:type="pct"/>
          </w:tcPr>
          <w:p w:rsidR="00CC6894" w:rsidRPr="00CC6894" w:rsidRDefault="00CC6894" w:rsidP="00CC6894">
            <w:pPr>
              <w:adjustRightInd w:val="0"/>
              <w:ind w:left="60" w:right="60"/>
              <w:rPr>
                <w:rFonts w:ascii="Cambria" w:eastAsiaTheme="minorHAnsi" w:hAnsi="Cambria"/>
                <w:i/>
                <w:sz w:val="22"/>
                <w:szCs w:val="22"/>
              </w:rPr>
            </w:pPr>
            <w:r w:rsidRPr="00CC6894">
              <w:rPr>
                <w:rFonts w:ascii="Cambria" w:eastAsiaTheme="minorHAnsi" w:hAnsi="Cambria"/>
                <w:i/>
                <w:sz w:val="22"/>
                <w:szCs w:val="22"/>
              </w:rPr>
              <w:t>Earning Per Share</w:t>
            </w:r>
          </w:p>
        </w:tc>
        <w:tc>
          <w:tcPr>
            <w:tcW w:w="1699" w:type="pct"/>
          </w:tcPr>
          <w:p w:rsidR="00CC6894" w:rsidRPr="00CC6894" w:rsidRDefault="00CC6894" w:rsidP="00CC6894">
            <w:pPr>
              <w:jc w:val="center"/>
              <w:rPr>
                <w:rFonts w:ascii="Cambria" w:hAnsi="Cambria"/>
                <w:sz w:val="22"/>
                <w:szCs w:val="22"/>
              </w:rPr>
            </w:pPr>
            <w:r w:rsidRPr="00CC6894">
              <w:rPr>
                <w:rFonts w:ascii="Cambria" w:hAnsi="Cambria"/>
                <w:sz w:val="22"/>
                <w:szCs w:val="22"/>
              </w:rPr>
              <w:t>2.422</w:t>
            </w:r>
          </w:p>
        </w:tc>
        <w:tc>
          <w:tcPr>
            <w:tcW w:w="1700" w:type="pct"/>
          </w:tcPr>
          <w:p w:rsidR="00CC6894" w:rsidRPr="00CC6894" w:rsidRDefault="00CC6894" w:rsidP="00CC6894">
            <w:pPr>
              <w:adjustRightInd w:val="0"/>
              <w:ind w:left="60" w:right="60"/>
              <w:jc w:val="center"/>
              <w:rPr>
                <w:rFonts w:ascii="Cambria" w:eastAsiaTheme="minorHAnsi" w:hAnsi="Cambria"/>
                <w:sz w:val="22"/>
                <w:szCs w:val="22"/>
              </w:rPr>
            </w:pPr>
            <w:r w:rsidRPr="00CC6894">
              <w:rPr>
                <w:rFonts w:ascii="Cambria" w:eastAsiaTheme="minorHAnsi" w:hAnsi="Cambria"/>
                <w:sz w:val="22"/>
                <w:szCs w:val="22"/>
              </w:rPr>
              <w:t>. 000</w:t>
            </w:r>
          </w:p>
        </w:tc>
      </w:tr>
      <w:tr w:rsidR="00CC6894" w:rsidRPr="00CC6894" w:rsidTr="00363F86">
        <w:tc>
          <w:tcPr>
            <w:tcW w:w="1601" w:type="pct"/>
          </w:tcPr>
          <w:p w:rsidR="00CC6894" w:rsidRPr="00CC6894" w:rsidRDefault="00CC6894" w:rsidP="00CC6894">
            <w:pPr>
              <w:adjustRightInd w:val="0"/>
              <w:ind w:left="60" w:right="60"/>
              <w:rPr>
                <w:rFonts w:ascii="Cambria" w:eastAsiaTheme="minorHAnsi" w:hAnsi="Cambria"/>
                <w:i/>
                <w:sz w:val="22"/>
                <w:szCs w:val="22"/>
              </w:rPr>
            </w:pPr>
            <w:r w:rsidRPr="00CC6894">
              <w:rPr>
                <w:rFonts w:ascii="Cambria" w:eastAsiaTheme="minorHAnsi" w:hAnsi="Cambria"/>
                <w:i/>
                <w:sz w:val="22"/>
                <w:szCs w:val="22"/>
              </w:rPr>
              <w:t>Return On Equity</w:t>
            </w:r>
          </w:p>
        </w:tc>
        <w:tc>
          <w:tcPr>
            <w:tcW w:w="1699" w:type="pct"/>
          </w:tcPr>
          <w:p w:rsidR="00CC6894" w:rsidRPr="00CC6894" w:rsidRDefault="00CC6894" w:rsidP="00CC6894">
            <w:pPr>
              <w:jc w:val="center"/>
              <w:rPr>
                <w:rFonts w:ascii="Cambria" w:hAnsi="Cambria"/>
                <w:sz w:val="22"/>
                <w:szCs w:val="22"/>
              </w:rPr>
            </w:pPr>
            <w:r w:rsidRPr="00CC6894">
              <w:rPr>
                <w:rFonts w:ascii="Cambria" w:hAnsi="Cambria"/>
                <w:sz w:val="22"/>
                <w:szCs w:val="22"/>
              </w:rPr>
              <w:t>3.823</w:t>
            </w:r>
          </w:p>
        </w:tc>
        <w:tc>
          <w:tcPr>
            <w:tcW w:w="1700" w:type="pct"/>
          </w:tcPr>
          <w:p w:rsidR="00CC6894" w:rsidRPr="00CC6894" w:rsidRDefault="00CC6894" w:rsidP="00CC6894">
            <w:pPr>
              <w:adjustRightInd w:val="0"/>
              <w:ind w:left="60" w:right="60"/>
              <w:jc w:val="center"/>
              <w:rPr>
                <w:rFonts w:ascii="Cambria" w:eastAsiaTheme="minorHAnsi" w:hAnsi="Cambria"/>
                <w:sz w:val="22"/>
                <w:szCs w:val="22"/>
              </w:rPr>
            </w:pPr>
            <w:r w:rsidRPr="00CC6894">
              <w:rPr>
                <w:rFonts w:ascii="Cambria" w:eastAsiaTheme="minorHAnsi" w:hAnsi="Cambria"/>
                <w:sz w:val="22"/>
                <w:szCs w:val="22"/>
              </w:rPr>
              <w:t>. 000</w:t>
            </w:r>
          </w:p>
        </w:tc>
      </w:tr>
    </w:tbl>
    <w:p w:rsidR="00CC6894" w:rsidRPr="00CC6894" w:rsidRDefault="00CC6894" w:rsidP="00CC6894">
      <w:pPr>
        <w:rPr>
          <w:rFonts w:ascii="Cambria" w:hAnsi="Cambria"/>
          <w:sz w:val="22"/>
          <w:szCs w:val="22"/>
          <w:lang w:val="en-US"/>
        </w:rPr>
      </w:pPr>
      <w:r w:rsidRPr="00CC6894">
        <w:rPr>
          <w:rFonts w:ascii="Cambria" w:hAnsi="Cambria"/>
          <w:sz w:val="22"/>
          <w:szCs w:val="22"/>
          <w:lang w:val="en-US"/>
        </w:rPr>
        <w:t>Sumber: olah</w:t>
      </w:r>
      <w:r>
        <w:rPr>
          <w:rFonts w:ascii="Cambria" w:hAnsi="Cambria"/>
          <w:sz w:val="22"/>
          <w:szCs w:val="22"/>
          <w:lang w:val="en-US"/>
        </w:rPr>
        <w:t xml:space="preserve"> data</w:t>
      </w:r>
      <w:r w:rsidRPr="00CC6894">
        <w:rPr>
          <w:rFonts w:ascii="Cambria" w:hAnsi="Cambria"/>
          <w:sz w:val="22"/>
          <w:szCs w:val="22"/>
          <w:lang w:val="en-US"/>
        </w:rPr>
        <w:t>, 2025</w:t>
      </w:r>
    </w:p>
    <w:p w:rsidR="00CC6894" w:rsidRDefault="00DA6497" w:rsidP="00CC6894">
      <w:pPr>
        <w:adjustRightInd w:val="0"/>
        <w:ind w:firstLine="630"/>
        <w:jc w:val="both"/>
        <w:rPr>
          <w:rFonts w:ascii="Cambria" w:hAnsi="Cambria" w:cstheme="minorHAnsi"/>
        </w:rPr>
      </w:pPr>
      <w:r w:rsidRPr="00504223">
        <w:rPr>
          <w:rFonts w:ascii="Cambria" w:hAnsi="Cambria" w:cstheme="minorHAnsi"/>
        </w:rPr>
        <w:t>Berdasarkan hasil perhitungan tersebut menunjukan bahwa:</w:t>
      </w:r>
    </w:p>
    <w:p w:rsidR="00CC6894" w:rsidRPr="00CC6894" w:rsidRDefault="00DA6497" w:rsidP="00CC6894">
      <w:pPr>
        <w:pStyle w:val="DaftarParagraf"/>
        <w:numPr>
          <w:ilvl w:val="0"/>
          <w:numId w:val="4"/>
        </w:numPr>
        <w:adjustRightInd w:val="0"/>
        <w:jc w:val="both"/>
        <w:rPr>
          <w:rFonts w:ascii="Cambria" w:hAnsi="Cambria" w:cstheme="minorHAnsi"/>
        </w:rPr>
      </w:pPr>
      <w:r w:rsidRPr="00CC6894">
        <w:rPr>
          <w:rFonts w:ascii="Cambria" w:hAnsi="Cambria" w:cstheme="minorHAnsi"/>
        </w:rPr>
        <w:t xml:space="preserve">Pengujian hipotesis pengaruh Debt To Equity Ratio terhadap Nilai perushaan (H1) diperoleh tingkat signifikan. 0.000&lt;0,05 maka ada pengaruh siginifikan antara Debt To Equity Ratio terhadap Nilai perushaan. </w:t>
      </w:r>
    </w:p>
    <w:p w:rsidR="00CC6894" w:rsidRDefault="00DA6497" w:rsidP="00CC6894">
      <w:pPr>
        <w:pStyle w:val="DaftarParagraf"/>
        <w:numPr>
          <w:ilvl w:val="0"/>
          <w:numId w:val="4"/>
        </w:numPr>
        <w:adjustRightInd w:val="0"/>
        <w:jc w:val="both"/>
        <w:rPr>
          <w:rFonts w:ascii="Cambria" w:hAnsi="Cambria" w:cstheme="minorHAnsi"/>
        </w:rPr>
      </w:pPr>
      <w:r w:rsidRPr="00CC6894">
        <w:rPr>
          <w:rFonts w:ascii="Cambria" w:hAnsi="Cambria" w:cstheme="minorHAnsi"/>
        </w:rPr>
        <w:lastRenderedPageBreak/>
        <w:t xml:space="preserve">Pengujian hipotesis pengaruh Earning Per Share terhadap Nilai perushaan (H2) diperoleh tingkat signifikan. 0.000&lt;0,05 maka ada pengaruh siginifikan antara Earning Per Share terhadap Nilai perushaan. </w:t>
      </w:r>
    </w:p>
    <w:p w:rsidR="00CC6894" w:rsidRDefault="00DA6497" w:rsidP="00CC6894">
      <w:pPr>
        <w:pStyle w:val="DaftarParagraf"/>
        <w:numPr>
          <w:ilvl w:val="0"/>
          <w:numId w:val="4"/>
        </w:numPr>
        <w:adjustRightInd w:val="0"/>
        <w:spacing w:after="0"/>
        <w:jc w:val="both"/>
        <w:rPr>
          <w:rFonts w:ascii="Cambria" w:hAnsi="Cambria" w:cstheme="minorHAnsi"/>
        </w:rPr>
      </w:pPr>
      <w:r w:rsidRPr="00CC6894">
        <w:rPr>
          <w:rFonts w:ascii="Cambria" w:hAnsi="Cambria" w:cstheme="minorHAnsi"/>
        </w:rPr>
        <w:t>Pengujian hipotesis pengaruh Return On Equity terhadap Nilai perusahaan (H3) diperoleh tingkat signifikan 0.000&lt;0,05 maka ada pengaruh siginifikan antara Return On Equity terhadap Nilai perushaan</w:t>
      </w:r>
    </w:p>
    <w:p w:rsidR="00DA6497" w:rsidRPr="00CC6894" w:rsidRDefault="00CC6894" w:rsidP="00CC6894">
      <w:pPr>
        <w:adjustRightInd w:val="0"/>
        <w:jc w:val="both"/>
        <w:rPr>
          <w:rFonts w:ascii="Cambria" w:hAnsi="Cambria" w:cstheme="minorHAnsi"/>
        </w:rPr>
      </w:pPr>
      <w:r w:rsidRPr="00CC6894">
        <w:rPr>
          <w:rFonts w:ascii="Cambria" w:hAnsi="Cambria"/>
          <w:b/>
        </w:rPr>
        <w:t>K</w:t>
      </w:r>
      <w:r w:rsidR="00DA6497" w:rsidRPr="00CC6894">
        <w:rPr>
          <w:rFonts w:ascii="Cambria" w:hAnsi="Cambria"/>
          <w:b/>
        </w:rPr>
        <w:t xml:space="preserve">oefisien Korelasi (R) </w:t>
      </w:r>
    </w:p>
    <w:p w:rsidR="00CC6894" w:rsidRDefault="00DA6497" w:rsidP="00CC6894">
      <w:pPr>
        <w:ind w:firstLine="630"/>
        <w:jc w:val="both"/>
        <w:rPr>
          <w:rFonts w:ascii="Cambria" w:hAnsi="Cambria"/>
        </w:rPr>
      </w:pPr>
      <w:r w:rsidRPr="00504223">
        <w:rPr>
          <w:rFonts w:ascii="Cambria" w:hAnsi="Cambria"/>
        </w:rPr>
        <w:t xml:space="preserve">Untuk melihat berapa besar hubungan yang terjadi antara variabel independen secara serentak terhadap variabel dependen yang disajikan pada Tabel </w:t>
      </w:r>
      <w:r w:rsidR="00CC6894">
        <w:rPr>
          <w:rFonts w:ascii="Cambria" w:hAnsi="Cambria"/>
          <w:lang w:val="en-US"/>
        </w:rPr>
        <w:t>7</w:t>
      </w:r>
      <w:r w:rsidRPr="00504223">
        <w:rPr>
          <w:rFonts w:ascii="Cambria" w:hAnsi="Cambria"/>
        </w:rPr>
        <w:t>:</w:t>
      </w:r>
    </w:p>
    <w:p w:rsidR="00DA6497" w:rsidRPr="00863F6F" w:rsidRDefault="00DA6497" w:rsidP="00863F6F">
      <w:pPr>
        <w:jc w:val="center"/>
        <w:rPr>
          <w:rFonts w:ascii="Cambria" w:hAnsi="Cambria"/>
          <w:b/>
          <w:bCs/>
          <w:iCs/>
        </w:rPr>
      </w:pPr>
      <w:r w:rsidRPr="00863F6F">
        <w:rPr>
          <w:rFonts w:ascii="Cambria" w:hAnsi="Cambria"/>
          <w:b/>
          <w:bCs/>
          <w:iCs/>
        </w:rPr>
        <w:t xml:space="preserve">Tabel </w:t>
      </w:r>
      <w:r w:rsidR="00CC6894" w:rsidRPr="00863F6F">
        <w:rPr>
          <w:rFonts w:ascii="Cambria" w:hAnsi="Cambria"/>
          <w:b/>
          <w:bCs/>
          <w:iCs/>
          <w:lang w:val="en-US"/>
        </w:rPr>
        <w:t xml:space="preserve">7. </w:t>
      </w:r>
      <w:r w:rsidRPr="00863F6F">
        <w:rPr>
          <w:rFonts w:ascii="Cambria" w:hAnsi="Cambria"/>
          <w:b/>
          <w:bCs/>
          <w:iCs/>
        </w:rPr>
        <w:t>Hasil Koefisien Korelasi (R) dan Koefisien Determinasi (R2)</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1083"/>
        <w:gridCol w:w="1841"/>
        <w:gridCol w:w="3213"/>
        <w:gridCol w:w="2934"/>
      </w:tblGrid>
      <w:tr w:rsidR="00363F86" w:rsidRPr="00CC6894" w:rsidTr="00363F86">
        <w:trPr>
          <w:cantSplit/>
        </w:trPr>
        <w:tc>
          <w:tcPr>
            <w:tcW w:w="597" w:type="pct"/>
            <w:tcBorders>
              <w:top w:val="single" w:sz="4" w:space="0" w:color="auto"/>
              <w:bottom w:val="single" w:sz="4" w:space="0" w:color="auto"/>
            </w:tcBorders>
            <w:shd w:val="clear" w:color="auto" w:fill="FFFFFF"/>
            <w:vAlign w:val="bottom"/>
          </w:tcPr>
          <w:p w:rsidR="00363F86" w:rsidRPr="00CC6894" w:rsidRDefault="00363F86" w:rsidP="00504223">
            <w:pPr>
              <w:ind w:left="60" w:right="60"/>
              <w:jc w:val="center"/>
              <w:rPr>
                <w:rFonts w:ascii="Cambria" w:hAnsi="Cambria"/>
                <w:b/>
                <w:bCs/>
                <w:color w:val="000000" w:themeColor="text1"/>
                <w:sz w:val="22"/>
                <w:szCs w:val="22"/>
              </w:rPr>
            </w:pPr>
            <w:r w:rsidRPr="00CC6894">
              <w:rPr>
                <w:rFonts w:ascii="Cambria" w:hAnsi="Cambria"/>
                <w:b/>
                <w:bCs/>
                <w:color w:val="000000" w:themeColor="text1"/>
                <w:sz w:val="22"/>
                <w:szCs w:val="22"/>
              </w:rPr>
              <w:t>R</w:t>
            </w:r>
          </w:p>
        </w:tc>
        <w:tc>
          <w:tcPr>
            <w:tcW w:w="1015" w:type="pct"/>
            <w:tcBorders>
              <w:top w:val="single" w:sz="4" w:space="0" w:color="auto"/>
              <w:bottom w:val="single" w:sz="4" w:space="0" w:color="auto"/>
            </w:tcBorders>
            <w:shd w:val="clear" w:color="auto" w:fill="FFFFFF"/>
            <w:vAlign w:val="bottom"/>
          </w:tcPr>
          <w:p w:rsidR="00363F86" w:rsidRPr="00CC6894" w:rsidRDefault="00363F86" w:rsidP="00504223">
            <w:pPr>
              <w:ind w:left="60" w:right="60"/>
              <w:jc w:val="center"/>
              <w:rPr>
                <w:rFonts w:ascii="Cambria" w:hAnsi="Cambria"/>
                <w:b/>
                <w:bCs/>
                <w:color w:val="000000" w:themeColor="text1"/>
                <w:sz w:val="22"/>
                <w:szCs w:val="22"/>
              </w:rPr>
            </w:pPr>
            <w:r w:rsidRPr="00CC6894">
              <w:rPr>
                <w:rFonts w:ascii="Cambria" w:hAnsi="Cambria"/>
                <w:b/>
                <w:bCs/>
                <w:color w:val="000000" w:themeColor="text1"/>
                <w:sz w:val="22"/>
                <w:szCs w:val="22"/>
              </w:rPr>
              <w:t>R Square</w:t>
            </w:r>
          </w:p>
        </w:tc>
        <w:tc>
          <w:tcPr>
            <w:tcW w:w="1771" w:type="pct"/>
            <w:tcBorders>
              <w:top w:val="single" w:sz="4" w:space="0" w:color="auto"/>
              <w:bottom w:val="single" w:sz="4" w:space="0" w:color="auto"/>
            </w:tcBorders>
            <w:shd w:val="clear" w:color="auto" w:fill="FFFFFF"/>
            <w:vAlign w:val="bottom"/>
          </w:tcPr>
          <w:p w:rsidR="00363F86" w:rsidRPr="00CC6894" w:rsidRDefault="00363F86" w:rsidP="00504223">
            <w:pPr>
              <w:ind w:left="60" w:right="60"/>
              <w:jc w:val="center"/>
              <w:rPr>
                <w:rFonts w:ascii="Cambria" w:hAnsi="Cambria"/>
                <w:b/>
                <w:bCs/>
                <w:color w:val="000000" w:themeColor="text1"/>
                <w:sz w:val="22"/>
                <w:szCs w:val="22"/>
              </w:rPr>
            </w:pPr>
            <w:r w:rsidRPr="00CC6894">
              <w:rPr>
                <w:rFonts w:ascii="Cambria" w:hAnsi="Cambria"/>
                <w:b/>
                <w:bCs/>
                <w:color w:val="000000" w:themeColor="text1"/>
                <w:sz w:val="22"/>
                <w:szCs w:val="22"/>
              </w:rPr>
              <w:t>Adjusted R Square</w:t>
            </w:r>
          </w:p>
        </w:tc>
        <w:tc>
          <w:tcPr>
            <w:tcW w:w="1617" w:type="pct"/>
            <w:tcBorders>
              <w:top w:val="single" w:sz="4" w:space="0" w:color="auto"/>
              <w:bottom w:val="single" w:sz="4" w:space="0" w:color="auto"/>
            </w:tcBorders>
            <w:shd w:val="clear" w:color="auto" w:fill="FFFFFF"/>
            <w:vAlign w:val="bottom"/>
          </w:tcPr>
          <w:p w:rsidR="00363F86" w:rsidRPr="00CC6894" w:rsidRDefault="00363F86" w:rsidP="00504223">
            <w:pPr>
              <w:ind w:left="60" w:right="60"/>
              <w:jc w:val="center"/>
              <w:rPr>
                <w:rFonts w:ascii="Cambria" w:hAnsi="Cambria"/>
                <w:b/>
                <w:bCs/>
                <w:color w:val="000000" w:themeColor="text1"/>
                <w:sz w:val="22"/>
                <w:szCs w:val="22"/>
              </w:rPr>
            </w:pPr>
            <w:r w:rsidRPr="00CC6894">
              <w:rPr>
                <w:rFonts w:ascii="Cambria" w:hAnsi="Cambria"/>
                <w:b/>
                <w:bCs/>
                <w:color w:val="000000" w:themeColor="text1"/>
                <w:sz w:val="22"/>
                <w:szCs w:val="22"/>
              </w:rPr>
              <w:t>Durbin-Watson</w:t>
            </w:r>
          </w:p>
        </w:tc>
      </w:tr>
      <w:tr w:rsidR="00363F86" w:rsidRPr="00CC6894" w:rsidTr="00363F86">
        <w:trPr>
          <w:cantSplit/>
        </w:trPr>
        <w:tc>
          <w:tcPr>
            <w:tcW w:w="597" w:type="pct"/>
            <w:tcBorders>
              <w:top w:val="single" w:sz="4" w:space="0" w:color="auto"/>
            </w:tcBorders>
            <w:shd w:val="clear" w:color="auto" w:fill="FFFFFF"/>
          </w:tcPr>
          <w:p w:rsidR="00363F86" w:rsidRPr="00CC6894" w:rsidRDefault="00363F86" w:rsidP="00504223">
            <w:pPr>
              <w:ind w:left="60" w:right="60"/>
              <w:jc w:val="right"/>
              <w:rPr>
                <w:rFonts w:ascii="Cambria" w:hAnsi="Cambria"/>
                <w:color w:val="000000" w:themeColor="text1"/>
                <w:sz w:val="22"/>
                <w:szCs w:val="22"/>
              </w:rPr>
            </w:pPr>
            <w:r w:rsidRPr="00CC6894">
              <w:rPr>
                <w:rFonts w:ascii="Cambria" w:hAnsi="Cambria"/>
                <w:color w:val="000000" w:themeColor="text1"/>
                <w:sz w:val="22"/>
                <w:szCs w:val="22"/>
              </w:rPr>
              <w:t>.890</w:t>
            </w:r>
            <w:r w:rsidRPr="00CC6894">
              <w:rPr>
                <w:rFonts w:ascii="Cambria" w:hAnsi="Cambria"/>
                <w:color w:val="000000" w:themeColor="text1"/>
                <w:sz w:val="22"/>
                <w:szCs w:val="22"/>
                <w:vertAlign w:val="superscript"/>
              </w:rPr>
              <w:t>a</w:t>
            </w:r>
          </w:p>
        </w:tc>
        <w:tc>
          <w:tcPr>
            <w:tcW w:w="1015" w:type="pct"/>
            <w:tcBorders>
              <w:top w:val="single" w:sz="4" w:space="0" w:color="auto"/>
            </w:tcBorders>
            <w:shd w:val="clear" w:color="auto" w:fill="FFFFFF"/>
          </w:tcPr>
          <w:p w:rsidR="00363F86" w:rsidRPr="00CC6894" w:rsidRDefault="00363F86" w:rsidP="00504223">
            <w:pPr>
              <w:ind w:left="60" w:right="60"/>
              <w:jc w:val="right"/>
              <w:rPr>
                <w:rFonts w:ascii="Cambria" w:hAnsi="Cambria"/>
                <w:color w:val="000000" w:themeColor="text1"/>
                <w:sz w:val="22"/>
                <w:szCs w:val="22"/>
              </w:rPr>
            </w:pPr>
            <w:r w:rsidRPr="00CC6894">
              <w:rPr>
                <w:rFonts w:ascii="Cambria" w:hAnsi="Cambria"/>
                <w:color w:val="000000" w:themeColor="text1"/>
                <w:sz w:val="22"/>
                <w:szCs w:val="22"/>
              </w:rPr>
              <w:t>.792</w:t>
            </w:r>
          </w:p>
        </w:tc>
        <w:tc>
          <w:tcPr>
            <w:tcW w:w="1771" w:type="pct"/>
            <w:tcBorders>
              <w:top w:val="single" w:sz="4" w:space="0" w:color="auto"/>
            </w:tcBorders>
            <w:shd w:val="clear" w:color="auto" w:fill="FFFFFF"/>
          </w:tcPr>
          <w:p w:rsidR="00363F86" w:rsidRPr="00CC6894" w:rsidRDefault="00363F86" w:rsidP="00504223">
            <w:pPr>
              <w:ind w:left="60" w:right="60"/>
              <w:jc w:val="right"/>
              <w:rPr>
                <w:rFonts w:ascii="Cambria" w:hAnsi="Cambria"/>
                <w:color w:val="000000" w:themeColor="text1"/>
                <w:sz w:val="22"/>
                <w:szCs w:val="22"/>
              </w:rPr>
            </w:pPr>
            <w:r w:rsidRPr="00CC6894">
              <w:rPr>
                <w:rFonts w:ascii="Cambria" w:hAnsi="Cambria"/>
                <w:color w:val="000000" w:themeColor="text1"/>
                <w:sz w:val="22"/>
                <w:szCs w:val="22"/>
              </w:rPr>
              <w:t>.770</w:t>
            </w:r>
          </w:p>
        </w:tc>
        <w:tc>
          <w:tcPr>
            <w:tcW w:w="1617" w:type="pct"/>
            <w:tcBorders>
              <w:top w:val="single" w:sz="4" w:space="0" w:color="auto"/>
            </w:tcBorders>
            <w:shd w:val="clear" w:color="auto" w:fill="FFFFFF"/>
          </w:tcPr>
          <w:p w:rsidR="00363F86" w:rsidRPr="00CC6894" w:rsidRDefault="00363F86" w:rsidP="00504223">
            <w:pPr>
              <w:ind w:left="60" w:right="60"/>
              <w:jc w:val="right"/>
              <w:rPr>
                <w:rFonts w:ascii="Cambria" w:hAnsi="Cambria"/>
                <w:color w:val="000000" w:themeColor="text1"/>
                <w:sz w:val="22"/>
                <w:szCs w:val="22"/>
              </w:rPr>
            </w:pPr>
            <w:r w:rsidRPr="00CC6894">
              <w:rPr>
                <w:rFonts w:ascii="Cambria" w:hAnsi="Cambria"/>
                <w:color w:val="000000" w:themeColor="text1"/>
                <w:sz w:val="22"/>
                <w:szCs w:val="22"/>
              </w:rPr>
              <w:t>1.470</w:t>
            </w:r>
          </w:p>
        </w:tc>
      </w:tr>
    </w:tbl>
    <w:p w:rsidR="00C325EB" w:rsidRPr="00CC6894" w:rsidRDefault="00C325EB" w:rsidP="00C325EB">
      <w:pPr>
        <w:rPr>
          <w:rFonts w:ascii="Cambria" w:hAnsi="Cambria"/>
          <w:sz w:val="22"/>
          <w:szCs w:val="22"/>
          <w:lang w:val="en-US"/>
        </w:rPr>
      </w:pPr>
      <w:r w:rsidRPr="00CC6894">
        <w:rPr>
          <w:rFonts w:ascii="Cambria" w:hAnsi="Cambria"/>
          <w:sz w:val="22"/>
          <w:szCs w:val="22"/>
          <w:lang w:val="en-US"/>
        </w:rPr>
        <w:t>Sumber: olah</w:t>
      </w:r>
      <w:r>
        <w:rPr>
          <w:rFonts w:ascii="Cambria" w:hAnsi="Cambria"/>
          <w:sz w:val="22"/>
          <w:szCs w:val="22"/>
          <w:lang w:val="en-US"/>
        </w:rPr>
        <w:t xml:space="preserve"> data</w:t>
      </w:r>
      <w:r w:rsidRPr="00CC6894">
        <w:rPr>
          <w:rFonts w:ascii="Cambria" w:hAnsi="Cambria"/>
          <w:sz w:val="22"/>
          <w:szCs w:val="22"/>
          <w:lang w:val="en-US"/>
        </w:rPr>
        <w:t>, 2025</w:t>
      </w:r>
    </w:p>
    <w:p w:rsidR="00C325EB" w:rsidRPr="00C325EB" w:rsidRDefault="00DA6497" w:rsidP="00C325EB">
      <w:pPr>
        <w:spacing w:after="240"/>
        <w:ind w:firstLine="630"/>
        <w:jc w:val="both"/>
        <w:rPr>
          <w:rFonts w:ascii="Cambria" w:hAnsi="Cambria"/>
        </w:rPr>
      </w:pPr>
      <w:r w:rsidRPr="00504223">
        <w:rPr>
          <w:rFonts w:ascii="Cambria" w:hAnsi="Cambria"/>
        </w:rPr>
        <w:t xml:space="preserve">Berdasarkan hasil penelitian pada tabel </w:t>
      </w:r>
      <w:r w:rsidR="00C325EB">
        <w:rPr>
          <w:rFonts w:ascii="Cambria" w:hAnsi="Cambria"/>
          <w:lang w:val="en-US"/>
        </w:rPr>
        <w:t>7</w:t>
      </w:r>
      <w:r w:rsidRPr="00504223">
        <w:rPr>
          <w:rFonts w:ascii="Cambria" w:hAnsi="Cambria"/>
        </w:rPr>
        <w:t xml:space="preserve"> diketahui bahwa nilai R sebesar 0,890, berdasarkan tabel interpretasi korelasi berada pada interval (0,800-1,000) dapat disimpulkan bahwa hubungan antara variabel bebas dengan variabel terikat tergolong sangat kuat.</w:t>
      </w:r>
      <w:r w:rsidR="00C325EB">
        <w:rPr>
          <w:rFonts w:ascii="Cambria" w:hAnsi="Cambria"/>
          <w:lang w:val="en-US"/>
        </w:rPr>
        <w:t xml:space="preserve"> </w:t>
      </w:r>
      <w:r w:rsidRPr="00504223">
        <w:rPr>
          <w:rFonts w:ascii="Cambria" w:hAnsi="Cambria"/>
        </w:rPr>
        <w:t>Adjusted R Square digunakan untuk mengukur seberapa jauh kemampuan sebuah model dalam menerangkan variasi variabel dependen. Untuk mengetahui kontribusi variabel bebas terhadap variabel terikat (koefisien determinasi) dapat dilihat dari besarnya nilai Adjusted R Squre x 100%. Berdasarkan hasil penelitian pada tabel IV.8 dapat dilihat nilai koefisien determinasi variabel bebas terhadap variabel terikat diperoleh Adjusted R Square sebesar 0.770%, yang berarti bahwa kontribusi variabel bebas terhadap variabel terikat berada pada interpretasi kontribusi rendah sebesar 77%. Sedangkan sisanya 23% dipengaruhi oleh faktor-faktor lain di luar model penelitian.</w:t>
      </w:r>
    </w:p>
    <w:p w:rsidR="00C325EB" w:rsidRDefault="00DA6497" w:rsidP="00C325EB">
      <w:pPr>
        <w:pBdr>
          <w:top w:val="nil"/>
          <w:left w:val="nil"/>
          <w:bottom w:val="nil"/>
          <w:right w:val="nil"/>
          <w:between w:val="nil"/>
        </w:pBdr>
        <w:jc w:val="both"/>
        <w:rPr>
          <w:rFonts w:ascii="Cambria" w:hAnsi="Cambria"/>
          <w:b/>
          <w:color w:val="000000"/>
          <w:lang w:val="en-US"/>
        </w:rPr>
      </w:pPr>
      <w:r w:rsidRPr="00504223">
        <w:rPr>
          <w:rFonts w:ascii="Cambria" w:hAnsi="Cambria"/>
          <w:b/>
          <w:color w:val="000000"/>
          <w:lang w:val="en-US"/>
        </w:rPr>
        <w:t xml:space="preserve">Pembahasan </w:t>
      </w:r>
    </w:p>
    <w:p w:rsidR="00C325EB" w:rsidRPr="00EE548B" w:rsidRDefault="007607E2" w:rsidP="00C325EB">
      <w:pPr>
        <w:pBdr>
          <w:top w:val="nil"/>
          <w:left w:val="nil"/>
          <w:bottom w:val="nil"/>
          <w:right w:val="nil"/>
          <w:between w:val="nil"/>
        </w:pBdr>
        <w:jc w:val="both"/>
        <w:rPr>
          <w:rFonts w:ascii="Cambria" w:hAnsi="Cambria"/>
          <w:b/>
          <w:bCs/>
        </w:rPr>
      </w:pPr>
      <w:r w:rsidRPr="00EE548B">
        <w:rPr>
          <w:rFonts w:ascii="Cambria" w:hAnsi="Cambria"/>
          <w:b/>
          <w:bCs/>
        </w:rPr>
        <w:t>Pengaruh Debt to Equity Ratio (DER) terhadap Nilai Perusahaan</w:t>
      </w:r>
    </w:p>
    <w:p w:rsidR="00C325EB" w:rsidRDefault="007607E2" w:rsidP="00C325EB">
      <w:pPr>
        <w:pBdr>
          <w:top w:val="nil"/>
          <w:left w:val="nil"/>
          <w:bottom w:val="nil"/>
          <w:right w:val="nil"/>
          <w:between w:val="nil"/>
        </w:pBdr>
        <w:ind w:firstLine="720"/>
        <w:jc w:val="both"/>
        <w:rPr>
          <w:rFonts w:ascii="Cambria" w:hAnsi="Cambria"/>
        </w:rPr>
      </w:pPr>
      <w:r w:rsidRPr="00504223">
        <w:rPr>
          <w:rFonts w:ascii="Cambria" w:hAnsi="Cambria"/>
        </w:rPr>
        <w:t xml:space="preserve">Hasil penelitian menunjukkan bahwa </w:t>
      </w:r>
      <w:r w:rsidRPr="00EE548B">
        <w:rPr>
          <w:rStyle w:val="Kuat"/>
          <w:rFonts w:ascii="Cambria" w:hAnsi="Cambria"/>
          <w:b w:val="0"/>
          <w:bCs w:val="0"/>
        </w:rPr>
        <w:t>Debt to Equity Ratio (DER) berpengaruh terhadap nilai perusahaan</w:t>
      </w:r>
      <w:r w:rsidRPr="00504223">
        <w:rPr>
          <w:rFonts w:ascii="Cambria" w:hAnsi="Cambria"/>
        </w:rPr>
        <w:t>. Temuan ini mengindikasikan bahwa keputusan perusahaan dalam menentukan proporsi penggunaan utang dan modal sendiri menjadi salah satu faktor yang dipertimbangkan investor dalam memberikan penilaian terhadap perusahaan.</w:t>
      </w:r>
      <w:r w:rsidR="00C325EB">
        <w:rPr>
          <w:rFonts w:ascii="Cambria" w:hAnsi="Cambria"/>
          <w:lang w:val="en-US"/>
        </w:rPr>
        <w:t xml:space="preserve"> </w:t>
      </w:r>
      <w:r w:rsidRPr="00504223">
        <w:rPr>
          <w:rFonts w:ascii="Cambria" w:hAnsi="Cambria"/>
        </w:rPr>
        <w:t xml:space="preserve">Dalam perspektif </w:t>
      </w:r>
      <w:r w:rsidRPr="00EE548B">
        <w:rPr>
          <w:rStyle w:val="Kuat"/>
          <w:rFonts w:ascii="Cambria" w:hAnsi="Cambria"/>
          <w:b w:val="0"/>
          <w:bCs w:val="0"/>
        </w:rPr>
        <w:t>Signaling Theory</w:t>
      </w:r>
      <w:r w:rsidRPr="00504223">
        <w:rPr>
          <w:rFonts w:ascii="Cambria" w:hAnsi="Cambria"/>
        </w:rPr>
        <w:t>, struktur modal dipandang sebagai sinyal yang dikirimkan manajemen kepada investor mengenai prospek dan kondisi keuangan perusahaan. Penggunaan utang yang terkendali dapat menunjukkan optimisme manajemen terhadap kemampuan perusahaan menghasilkan arus kas pada masa mendatang sehingga meningkatkan kepercayaan investor (Connelly et al., 2025). Sebaliknya, tingkat utang yang terlalu tinggi dapat ditafsirkan sebagai peningkatan risiko finansial yang berpotensi menurunkan persepsi pasar terhadap perusahaan (Brigham &amp; Houston, 2021).</w:t>
      </w:r>
    </w:p>
    <w:p w:rsidR="00C325EB" w:rsidRDefault="007607E2" w:rsidP="00C325EB">
      <w:pPr>
        <w:pBdr>
          <w:top w:val="nil"/>
          <w:left w:val="nil"/>
          <w:bottom w:val="nil"/>
          <w:right w:val="nil"/>
          <w:between w:val="nil"/>
        </w:pBdr>
        <w:ind w:firstLine="720"/>
        <w:jc w:val="both"/>
        <w:rPr>
          <w:rFonts w:ascii="Cambria" w:hAnsi="Cambria"/>
        </w:rPr>
      </w:pPr>
      <w:r w:rsidRPr="00504223">
        <w:rPr>
          <w:rFonts w:ascii="Cambria" w:hAnsi="Cambria"/>
        </w:rPr>
        <w:t>Temuan penelitian ini menunjukkan bahwa investor pada sektor telekomunikasi masih mempertimbangkan keputusan pendanaan sebagai indikator penting dalam menilai kualitas perusahaan. Hasil ini sejalan dengan penelitian Husain et al. (2023), Sanusi et al. (2023), Syahputra dan Yuniati (2023), Purwanto dan Agustin (2023), serta Kansal dan Sharma (2024) yang menemukan bahwa struktur modal memiliki hubungan terhadap pembentukan nilai perusahaan.</w:t>
      </w:r>
      <w:r w:rsidR="00C325EB">
        <w:rPr>
          <w:rFonts w:ascii="Cambria" w:hAnsi="Cambria"/>
          <w:lang w:val="en-US"/>
        </w:rPr>
        <w:t xml:space="preserve"> </w:t>
      </w:r>
      <w:r w:rsidRPr="00504223">
        <w:rPr>
          <w:rFonts w:ascii="Cambria" w:hAnsi="Cambria"/>
        </w:rPr>
        <w:t>Dengan demikian, perusahaan perlu menjaga struktur pendanaan yang optimal agar sinyal yang diterima investor tetap positif dan mampu meningkatkan nilai perusahaan.</w:t>
      </w:r>
    </w:p>
    <w:p w:rsidR="00375366" w:rsidRDefault="00375366" w:rsidP="00C325EB">
      <w:pPr>
        <w:pBdr>
          <w:top w:val="nil"/>
          <w:left w:val="nil"/>
          <w:bottom w:val="nil"/>
          <w:right w:val="nil"/>
          <w:between w:val="nil"/>
        </w:pBdr>
        <w:ind w:firstLine="720"/>
        <w:jc w:val="both"/>
        <w:rPr>
          <w:rFonts w:ascii="Cambria" w:hAnsi="Cambria"/>
        </w:rPr>
      </w:pPr>
    </w:p>
    <w:p w:rsidR="008F6C06" w:rsidRDefault="008F6C06" w:rsidP="00C325EB">
      <w:pPr>
        <w:pBdr>
          <w:top w:val="nil"/>
          <w:left w:val="nil"/>
          <w:bottom w:val="nil"/>
          <w:right w:val="nil"/>
          <w:between w:val="nil"/>
        </w:pBdr>
        <w:ind w:firstLine="720"/>
        <w:jc w:val="both"/>
        <w:rPr>
          <w:rFonts w:ascii="Cambria" w:hAnsi="Cambria"/>
        </w:rPr>
      </w:pPr>
    </w:p>
    <w:p w:rsidR="00C325EB" w:rsidRPr="00EE548B" w:rsidRDefault="007607E2" w:rsidP="00C325EB">
      <w:pPr>
        <w:pBdr>
          <w:top w:val="nil"/>
          <w:left w:val="nil"/>
          <w:bottom w:val="nil"/>
          <w:right w:val="nil"/>
          <w:between w:val="nil"/>
        </w:pBdr>
        <w:jc w:val="both"/>
        <w:rPr>
          <w:rFonts w:ascii="Cambria" w:hAnsi="Cambria"/>
          <w:b/>
          <w:bCs/>
        </w:rPr>
      </w:pPr>
      <w:r w:rsidRPr="00EE548B">
        <w:rPr>
          <w:rFonts w:ascii="Cambria" w:hAnsi="Cambria"/>
          <w:b/>
          <w:bCs/>
        </w:rPr>
        <w:lastRenderedPageBreak/>
        <w:t>Pengaruh Earnings per Share (EPS) terhadap Nilai Perusahaan</w:t>
      </w:r>
    </w:p>
    <w:p w:rsidR="00C325EB" w:rsidRDefault="007607E2" w:rsidP="00C325EB">
      <w:pPr>
        <w:pBdr>
          <w:top w:val="nil"/>
          <w:left w:val="nil"/>
          <w:bottom w:val="nil"/>
          <w:right w:val="nil"/>
          <w:between w:val="nil"/>
        </w:pBdr>
        <w:ind w:firstLine="720"/>
        <w:jc w:val="both"/>
        <w:rPr>
          <w:rFonts w:ascii="Cambria" w:hAnsi="Cambria"/>
        </w:rPr>
      </w:pPr>
      <w:r w:rsidRPr="00504223">
        <w:rPr>
          <w:rFonts w:ascii="Cambria" w:hAnsi="Cambria"/>
        </w:rPr>
        <w:t xml:space="preserve">Hasil penelitian menunjukkan bahwa </w:t>
      </w:r>
      <w:r w:rsidRPr="00EE548B">
        <w:rPr>
          <w:rStyle w:val="Kuat"/>
          <w:rFonts w:ascii="Cambria" w:hAnsi="Cambria"/>
          <w:b w:val="0"/>
          <w:bCs w:val="0"/>
        </w:rPr>
        <w:t>Earnings per Share (EPS) berpengaruh terhadap nilai perusahaan</w:t>
      </w:r>
      <w:r w:rsidRPr="00504223">
        <w:rPr>
          <w:rFonts w:ascii="Cambria" w:hAnsi="Cambria"/>
        </w:rPr>
        <w:t>. Hal ini menunjukkan bahwa informasi mengenai laba per saham masih menjadi dasar utama investor dalam mengevaluasi kinerja perusahaan.</w:t>
      </w:r>
      <w:r w:rsidR="00C325EB">
        <w:rPr>
          <w:rFonts w:ascii="Cambria" w:hAnsi="Cambria"/>
          <w:lang w:val="en-US"/>
        </w:rPr>
        <w:t xml:space="preserve"> </w:t>
      </w:r>
      <w:r w:rsidRPr="00504223">
        <w:rPr>
          <w:rFonts w:ascii="Cambria" w:hAnsi="Cambria"/>
        </w:rPr>
        <w:t xml:space="preserve">Menurut </w:t>
      </w:r>
      <w:r w:rsidRPr="00EE548B">
        <w:rPr>
          <w:rStyle w:val="Kuat"/>
          <w:rFonts w:ascii="Cambria" w:hAnsi="Cambria"/>
          <w:b w:val="0"/>
          <w:bCs w:val="0"/>
        </w:rPr>
        <w:t>Signaling Theory</w:t>
      </w:r>
      <w:r w:rsidRPr="00504223">
        <w:rPr>
          <w:rFonts w:ascii="Cambria" w:hAnsi="Cambria"/>
        </w:rPr>
        <w:t>, informasi laba yang dipublikasikan perusahaan merupakan sinyal yang mampu mengurangi asimetri informasi antara manajemen dan investor (Connelly et al., 2025). Semakin tinggi nilai EPS, maka semakin besar persepsi investor bahwa perusahaan memiliki prospek pertumbuhan dan kemampuan menghasilkan keuntungan yang baik (Ross et al., 2020).</w:t>
      </w:r>
    </w:p>
    <w:p w:rsidR="00C325EB" w:rsidRDefault="007607E2" w:rsidP="00C325EB">
      <w:pPr>
        <w:pBdr>
          <w:top w:val="nil"/>
          <w:left w:val="nil"/>
          <w:bottom w:val="nil"/>
          <w:right w:val="nil"/>
          <w:between w:val="nil"/>
        </w:pBdr>
        <w:ind w:firstLine="720"/>
        <w:jc w:val="both"/>
        <w:rPr>
          <w:rFonts w:ascii="Cambria" w:hAnsi="Cambria"/>
        </w:rPr>
      </w:pPr>
      <w:r w:rsidRPr="00504223">
        <w:rPr>
          <w:rFonts w:ascii="Cambria" w:hAnsi="Cambria"/>
        </w:rPr>
        <w:t>Temuan ini mengindikasikan bahwa investor tidak hanya memperhatikan tingkat keuntungan perusahaan secara umum, tetapi juga bagaimana keuntungan tersebut dikonversi menjadi manfaat ekonomi bagi pemegang saham. Hasil penelitian ini mendukung temuan Indrayani (2022), Husain et al. (2023), Sanusi et al. (2023), Borahima dan Djaddang (2026), serta Syahputra dan Yuniati (2023), yang menyatakan bahwa indikator profitabilitas memberikan sinyal positif terhadap peningkatan nilai perusahaan.</w:t>
      </w:r>
      <w:r w:rsidR="00C325EB">
        <w:rPr>
          <w:rFonts w:ascii="Cambria" w:hAnsi="Cambria"/>
          <w:lang w:val="en-US"/>
        </w:rPr>
        <w:t xml:space="preserve"> </w:t>
      </w:r>
      <w:r w:rsidRPr="00504223">
        <w:rPr>
          <w:rFonts w:ascii="Cambria" w:hAnsi="Cambria"/>
        </w:rPr>
        <w:t>Oleh karena itu, perusahaan perlu menjaga konsistensi pertumbuhan laba agar persepsi investor terhadap perusahaan tetap positif.</w:t>
      </w:r>
    </w:p>
    <w:p w:rsidR="00C325EB" w:rsidRPr="00EE548B" w:rsidRDefault="007607E2" w:rsidP="00C325EB">
      <w:pPr>
        <w:pBdr>
          <w:top w:val="nil"/>
          <w:left w:val="nil"/>
          <w:bottom w:val="nil"/>
          <w:right w:val="nil"/>
          <w:between w:val="nil"/>
        </w:pBdr>
        <w:jc w:val="both"/>
        <w:rPr>
          <w:rFonts w:ascii="Cambria" w:hAnsi="Cambria"/>
          <w:b/>
          <w:bCs/>
        </w:rPr>
      </w:pPr>
      <w:r w:rsidRPr="00EE548B">
        <w:rPr>
          <w:rFonts w:ascii="Cambria" w:hAnsi="Cambria"/>
          <w:b/>
          <w:bCs/>
        </w:rPr>
        <w:t>Pengaruh Return on Equity (ROE) terhadap Nilai Perusahaan</w:t>
      </w:r>
    </w:p>
    <w:p w:rsidR="00C325EB" w:rsidRDefault="007607E2" w:rsidP="00C325EB">
      <w:pPr>
        <w:pBdr>
          <w:top w:val="nil"/>
          <w:left w:val="nil"/>
          <w:bottom w:val="nil"/>
          <w:right w:val="nil"/>
          <w:between w:val="nil"/>
        </w:pBdr>
        <w:ind w:firstLine="720"/>
        <w:jc w:val="both"/>
        <w:rPr>
          <w:rFonts w:ascii="Cambria" w:hAnsi="Cambria"/>
        </w:rPr>
      </w:pPr>
      <w:r w:rsidRPr="00504223">
        <w:rPr>
          <w:rFonts w:ascii="Cambria" w:hAnsi="Cambria"/>
        </w:rPr>
        <w:t xml:space="preserve">Hasil penelitian menunjukkan bahwa </w:t>
      </w:r>
      <w:r w:rsidRPr="00EE548B">
        <w:rPr>
          <w:rStyle w:val="Kuat"/>
          <w:rFonts w:ascii="Cambria" w:hAnsi="Cambria"/>
          <w:b w:val="0"/>
          <w:bCs w:val="0"/>
        </w:rPr>
        <w:t>Return on Equity (ROE) berpengaruh terhadap nilai perusahaan</w:t>
      </w:r>
      <w:r w:rsidRPr="00504223">
        <w:rPr>
          <w:rFonts w:ascii="Cambria" w:hAnsi="Cambria"/>
        </w:rPr>
        <w:t>. Temuan ini menunjukkan bahwa efektivitas penggunaan modal sendiri menjadi salah satu indikator penting dalam pembentukan nilai perusahaan.</w:t>
      </w:r>
      <w:r w:rsidR="00C325EB">
        <w:rPr>
          <w:rFonts w:ascii="Cambria" w:hAnsi="Cambria"/>
          <w:lang w:val="en-US"/>
        </w:rPr>
        <w:t xml:space="preserve"> </w:t>
      </w:r>
      <w:r w:rsidRPr="00504223">
        <w:rPr>
          <w:rFonts w:ascii="Cambria" w:hAnsi="Cambria"/>
        </w:rPr>
        <w:t xml:space="preserve">Dalam </w:t>
      </w:r>
      <w:r w:rsidRPr="00EE548B">
        <w:rPr>
          <w:rStyle w:val="Kuat"/>
          <w:rFonts w:ascii="Cambria" w:hAnsi="Cambria"/>
          <w:b w:val="0"/>
          <w:bCs w:val="0"/>
        </w:rPr>
        <w:t>Signaling Theory</w:t>
      </w:r>
      <w:r w:rsidRPr="00504223">
        <w:rPr>
          <w:rFonts w:ascii="Cambria" w:hAnsi="Cambria"/>
        </w:rPr>
        <w:t>, tingkat profitabilitas yang tinggi merupakan sinyal bahwa perusahaan memiliki kemampuan mengelola sumber daya secara efisien dan mampu menghasilkan keuntungan yang berkelanjutan (Connelly et al., 2025). Investor cenderung memberikan penilaian lebih tinggi kepada perusahaan yang mampu menunjukkan tingkat pengembalian modal yang tinggi karena dianggap memiliki prospek pertumbuhan yang lebih baik (Brigham &amp; Houston, 2021).</w:t>
      </w:r>
    </w:p>
    <w:p w:rsidR="00C325EB" w:rsidRDefault="007607E2" w:rsidP="00C325EB">
      <w:pPr>
        <w:pBdr>
          <w:top w:val="nil"/>
          <w:left w:val="nil"/>
          <w:bottom w:val="nil"/>
          <w:right w:val="nil"/>
          <w:between w:val="nil"/>
        </w:pBdr>
        <w:ind w:firstLine="720"/>
        <w:jc w:val="both"/>
        <w:rPr>
          <w:rFonts w:ascii="Cambria" w:hAnsi="Cambria"/>
        </w:rPr>
      </w:pPr>
      <w:r w:rsidRPr="00504223">
        <w:rPr>
          <w:rFonts w:ascii="Cambria" w:hAnsi="Cambria"/>
        </w:rPr>
        <w:t>Temuan penelitian ini mendukung penelitian Hidayat dan Khotimah (2022), Husain et al. (2023), Romauli et al. (2026), Sahyu (2023), serta Borahima dan Djaddang (2026), yang menunjukkan bahwa profitabilitas memiliki kontribusi terhadap peningkatan nilai perusahaan.</w:t>
      </w:r>
      <w:r w:rsidR="00C325EB">
        <w:rPr>
          <w:rFonts w:ascii="Cambria" w:hAnsi="Cambria"/>
          <w:lang w:val="en-US"/>
        </w:rPr>
        <w:t xml:space="preserve"> </w:t>
      </w:r>
      <w:r w:rsidRPr="00504223">
        <w:rPr>
          <w:rFonts w:ascii="Cambria" w:hAnsi="Cambria"/>
        </w:rPr>
        <w:t>Dengan demikian, perusahaan perlu meningkatkan efektivitas penggunaan modal agar mampu mempertahankan daya tarik investasi.</w:t>
      </w:r>
    </w:p>
    <w:p w:rsidR="00EE548B" w:rsidRPr="00EE548B" w:rsidRDefault="007607E2" w:rsidP="00EE548B">
      <w:pPr>
        <w:pBdr>
          <w:top w:val="nil"/>
          <w:left w:val="nil"/>
          <w:bottom w:val="nil"/>
          <w:right w:val="nil"/>
          <w:between w:val="nil"/>
        </w:pBdr>
        <w:jc w:val="both"/>
        <w:rPr>
          <w:rFonts w:ascii="Cambria" w:hAnsi="Cambria"/>
          <w:b/>
          <w:bCs/>
        </w:rPr>
      </w:pPr>
      <w:r w:rsidRPr="00EE548B">
        <w:rPr>
          <w:rFonts w:ascii="Cambria" w:hAnsi="Cambria"/>
          <w:b/>
          <w:bCs/>
        </w:rPr>
        <w:t>Pengaruh Debt to Equity Ratio (DER), Earnings per Share (EPS), dan Return on Equity</w:t>
      </w:r>
      <w:r w:rsidR="00C325EB" w:rsidRPr="00EE548B">
        <w:rPr>
          <w:rFonts w:ascii="Cambria" w:hAnsi="Cambria"/>
          <w:b/>
          <w:bCs/>
          <w:lang w:val="en-US"/>
        </w:rPr>
        <w:t xml:space="preserve"> </w:t>
      </w:r>
      <w:r w:rsidRPr="00EE548B">
        <w:rPr>
          <w:rFonts w:ascii="Cambria" w:hAnsi="Cambria"/>
          <w:b/>
          <w:bCs/>
        </w:rPr>
        <w:t>(ROE) secara Simultan terhadap Nilai Perusahaan</w:t>
      </w:r>
    </w:p>
    <w:p w:rsidR="00C325EB" w:rsidRDefault="007607E2" w:rsidP="00EE548B">
      <w:pPr>
        <w:pBdr>
          <w:top w:val="nil"/>
          <w:left w:val="nil"/>
          <w:bottom w:val="nil"/>
          <w:right w:val="nil"/>
          <w:between w:val="nil"/>
        </w:pBdr>
        <w:ind w:firstLine="720"/>
        <w:jc w:val="both"/>
        <w:rPr>
          <w:rFonts w:ascii="Cambria" w:hAnsi="Cambria"/>
        </w:rPr>
      </w:pPr>
      <w:r w:rsidRPr="00504223">
        <w:rPr>
          <w:rFonts w:ascii="Cambria" w:hAnsi="Cambria"/>
        </w:rPr>
        <w:t xml:space="preserve">Hasil penelitian menunjukkan bahwa </w:t>
      </w:r>
      <w:r w:rsidRPr="00EE548B">
        <w:rPr>
          <w:rStyle w:val="Kuat"/>
          <w:rFonts w:ascii="Cambria" w:hAnsi="Cambria"/>
          <w:b w:val="0"/>
          <w:bCs w:val="0"/>
        </w:rPr>
        <w:t>DER, EPS, dan ROE secara simultan berpengaruh signifikan terhadap nilai perusahaan</w:t>
      </w:r>
      <w:r w:rsidRPr="00504223">
        <w:rPr>
          <w:rFonts w:ascii="Cambria" w:hAnsi="Cambria"/>
        </w:rPr>
        <w:t>. Temuan ini menunjukkan bahwa pembentukan nilai perusahaan tidak hanya ditentukan oleh satu indikator keuangan, tetapi merupakan hasil kombinasi antara keputusan pendanaan dan kemampuan menghasilkan keuntungan.</w:t>
      </w:r>
      <w:r w:rsidR="00C325EB">
        <w:rPr>
          <w:rFonts w:ascii="Cambria" w:hAnsi="Cambria"/>
          <w:lang w:val="en-US"/>
        </w:rPr>
        <w:t xml:space="preserve"> </w:t>
      </w:r>
      <w:r w:rsidRPr="00504223">
        <w:rPr>
          <w:rFonts w:ascii="Cambria" w:hAnsi="Cambria"/>
        </w:rPr>
        <w:t xml:space="preserve">Dalam </w:t>
      </w:r>
      <w:r w:rsidRPr="00EE548B">
        <w:rPr>
          <w:rStyle w:val="Kuat"/>
          <w:rFonts w:ascii="Cambria" w:hAnsi="Cambria"/>
          <w:b w:val="0"/>
          <w:bCs w:val="0"/>
        </w:rPr>
        <w:t>Signaling Theory</w:t>
      </w:r>
      <w:r w:rsidRPr="00504223">
        <w:rPr>
          <w:rFonts w:ascii="Cambria" w:hAnsi="Cambria"/>
        </w:rPr>
        <w:t>, investor menafsirkan informasi perusahaan secara kolektif melalui berbagai indikator keuangan yang tersedia (Connelly et al., 2025). Struktur modal yang sehat, tingkat laba per saham yang tinggi, serta efektivitas penggunaan modal menciptakan sinyal positif yang meningkatkan persepsi pasar terhadap prospek perusahaan (Zamani et al., 2025).</w:t>
      </w:r>
    </w:p>
    <w:p w:rsidR="00DA6497" w:rsidRPr="00C325EB" w:rsidRDefault="007607E2" w:rsidP="00C325EB">
      <w:pPr>
        <w:pBdr>
          <w:top w:val="nil"/>
          <w:left w:val="nil"/>
          <w:bottom w:val="nil"/>
          <w:right w:val="nil"/>
          <w:between w:val="nil"/>
        </w:pBdr>
        <w:spacing w:after="240"/>
        <w:ind w:firstLine="720"/>
        <w:jc w:val="both"/>
        <w:rPr>
          <w:rFonts w:ascii="Cambria" w:hAnsi="Cambria"/>
        </w:rPr>
      </w:pPr>
      <w:r w:rsidRPr="00504223">
        <w:rPr>
          <w:rFonts w:ascii="Cambria" w:hAnsi="Cambria"/>
        </w:rPr>
        <w:t>Hasil penelitian ini sejalan dengan penelitian Sanusi et al. (2023), Husain et al. (2023), Purwanto dan Agustin (2023), Romauli et al. (2026), serta Kansal dan Sharma (2024), yang menunjukkan bahwa struktur modal dan profitabilitas secara bersama-sama berkontribusi terhadap peningkatan nilai perusahaan.</w:t>
      </w:r>
      <w:r w:rsidR="00C325EB">
        <w:rPr>
          <w:rFonts w:ascii="Cambria" w:hAnsi="Cambria"/>
          <w:lang w:val="en-US"/>
        </w:rPr>
        <w:t xml:space="preserve"> </w:t>
      </w:r>
      <w:r w:rsidRPr="00504223">
        <w:rPr>
          <w:rFonts w:ascii="Cambria" w:hAnsi="Cambria"/>
        </w:rPr>
        <w:t>Temuan ini menegaskan bahwa perusahaan sektor telekomunikasi perlu mengelola kebijakan pendanaan dan profitabilitas secara simultan untuk meningkatkan nilai perusahaan.</w:t>
      </w:r>
    </w:p>
    <w:p w:rsidR="007607E2" w:rsidRPr="00504223" w:rsidRDefault="00DA6497" w:rsidP="00504223">
      <w:pPr>
        <w:pBdr>
          <w:top w:val="nil"/>
          <w:left w:val="nil"/>
          <w:bottom w:val="nil"/>
          <w:right w:val="nil"/>
          <w:between w:val="nil"/>
        </w:pBdr>
        <w:jc w:val="both"/>
        <w:rPr>
          <w:rFonts w:ascii="Cambria" w:hAnsi="Cambria"/>
          <w:b/>
          <w:color w:val="000000"/>
        </w:rPr>
      </w:pPr>
      <w:r w:rsidRPr="00504223">
        <w:rPr>
          <w:rFonts w:ascii="Cambria" w:hAnsi="Cambria"/>
          <w:b/>
          <w:color w:val="000000"/>
        </w:rPr>
        <w:lastRenderedPageBreak/>
        <w:t>SIMPULAN</w:t>
      </w:r>
    </w:p>
    <w:p w:rsidR="007607E2" w:rsidRPr="00504223" w:rsidRDefault="007607E2" w:rsidP="00504223">
      <w:pPr>
        <w:pBdr>
          <w:top w:val="nil"/>
          <w:left w:val="nil"/>
          <w:bottom w:val="nil"/>
          <w:right w:val="nil"/>
          <w:between w:val="nil"/>
        </w:pBdr>
        <w:ind w:firstLine="643"/>
        <w:jc w:val="both"/>
        <w:rPr>
          <w:rFonts w:ascii="Cambria" w:hAnsi="Cambria"/>
        </w:rPr>
      </w:pPr>
      <w:r w:rsidRPr="00504223">
        <w:rPr>
          <w:rFonts w:ascii="Cambria" w:hAnsi="Cambria"/>
        </w:rPr>
        <w:t xml:space="preserve">Berdasarkan hasil penelitian yang telah dilakukan, dapat disimpulkan bahwa Debt to Equity Ratio (DER), Earning Per Share (EPS), dan Return on Equity (ROE) secara simultan berpengaruh terhadap nilai perusahaan pada perusahaan manufaktur sektor telecommunication yang terdaftar di Bursa Efek Indonesia periode 2022–2024. Secara parsial, DER menunjukkan pengaruh negatif terhadap nilai perusahaan, yang mengindikasikan bahwa tingginya tingkat utang dibandingkan modal sendiri dapat menurunkan kepercayaan investor karena meningkatnya risiko keuangan perusahaan. Sementara itu, EPS dan ROE berpengaruh positif terhadap nilai perusahaan, yang menunjukkan bahwa kemampuan perusahaan dalam menghasilkan laba per saham serta efektivitas pengelolaan modal sendiri menjadi faktor penting dalam meningkatkan persepsi pasar dan daya tarik investasi. </w:t>
      </w:r>
    </w:p>
    <w:p w:rsidR="00C66203" w:rsidRDefault="007607E2" w:rsidP="00150195">
      <w:pPr>
        <w:pBdr>
          <w:top w:val="nil"/>
          <w:left w:val="nil"/>
          <w:bottom w:val="nil"/>
          <w:right w:val="nil"/>
          <w:between w:val="nil"/>
        </w:pBdr>
        <w:spacing w:after="240"/>
        <w:ind w:firstLine="643"/>
        <w:jc w:val="both"/>
        <w:rPr>
          <w:rFonts w:ascii="Cambria" w:hAnsi="Cambria"/>
        </w:rPr>
      </w:pPr>
      <w:r w:rsidRPr="00504223">
        <w:rPr>
          <w:rFonts w:ascii="Cambria" w:hAnsi="Cambria"/>
        </w:rPr>
        <w:t xml:space="preserve">Penelitian ini memberikan implikasi praktis bahwa manajemen perusahaan perlu menjaga struktur modal yang optimal, meningkatkan kemampuan menghasilkan laba per saham, serta mengoptimalkan pengelolaan modal untuk memperkuat nilai perusahaan. Dari sisi akademis, penelitian ini memperkuat pendekatan </w:t>
      </w:r>
      <w:r w:rsidRPr="00504223">
        <w:rPr>
          <w:rStyle w:val="Kuat"/>
          <w:rFonts w:ascii="Cambria" w:eastAsiaTheme="majorEastAsia" w:hAnsi="Cambria"/>
          <w:b w:val="0"/>
          <w:bCs w:val="0"/>
        </w:rPr>
        <w:t>Signaling Theory</w:t>
      </w:r>
      <w:r w:rsidRPr="00504223">
        <w:rPr>
          <w:rFonts w:ascii="Cambria" w:hAnsi="Cambria"/>
        </w:rPr>
        <w:t xml:space="preserve"> dalam menjelaskan bagaimana informasi keuangan menjadi dasar pembentukan persepsi investor terhadap nilai perusahaan.</w:t>
      </w:r>
      <w:r w:rsidR="00EE548B">
        <w:rPr>
          <w:rFonts w:ascii="Cambria" w:hAnsi="Cambria"/>
          <w:lang w:val="en-US"/>
        </w:rPr>
        <w:t xml:space="preserve"> </w:t>
      </w:r>
      <w:r w:rsidRPr="00504223">
        <w:rPr>
          <w:rFonts w:ascii="Cambria" w:hAnsi="Cambria"/>
        </w:rPr>
        <w:t>Adapun keterbatasan penelitian ini terletak pada penggunaan variabel yang masih terbatas pada DER, EPS, dan ROE serta periode observasi yang relatif pendek. Oleh karena itu, penelitian selanjutnya disarankan untuk menambahkan variabel lain seperti ukuran perusahaan, kebijakan dividen, likuiditas, atau faktor makroekonomi serta memperluas periode pengamatan agar menghasilkan model yang lebih komprehensif.</w:t>
      </w:r>
    </w:p>
    <w:p w:rsidR="00C66203" w:rsidRDefault="00DA6497" w:rsidP="00C66203">
      <w:pPr>
        <w:pBdr>
          <w:top w:val="nil"/>
          <w:left w:val="nil"/>
          <w:bottom w:val="nil"/>
          <w:right w:val="nil"/>
          <w:between w:val="nil"/>
        </w:pBdr>
        <w:jc w:val="both"/>
        <w:rPr>
          <w:rFonts w:ascii="Cambria" w:hAnsi="Cambria"/>
          <w:b/>
        </w:rPr>
      </w:pPr>
      <w:r w:rsidRPr="00504223">
        <w:rPr>
          <w:rFonts w:ascii="Cambria" w:hAnsi="Cambria"/>
          <w:b/>
        </w:rPr>
        <w:t xml:space="preserve">REFERENCES </w:t>
      </w:r>
    </w:p>
    <w:p w:rsidR="00C66203"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Anjani, G. G., &amp; Sandari, T. E. (2022). Pengaruh struktur modal dan profitabilitas terhadap nilai perusahaan infrastruktur sub sektor telekomunikasi yang terdaftar di Bursa Efek Indonesia periode tahun 2017–2021. </w:t>
      </w:r>
      <w:r w:rsidRPr="00150195">
        <w:rPr>
          <w:rStyle w:val="Penekanan"/>
          <w:rFonts w:ascii="Cambria" w:hAnsi="Cambria"/>
        </w:rPr>
        <w:t>Akuntansi, 2</w:t>
      </w:r>
      <w:r w:rsidRPr="00150195">
        <w:rPr>
          <w:rFonts w:ascii="Cambria" w:hAnsi="Cambria"/>
        </w:rPr>
        <w:t xml:space="preserve">(3). https://doi.org/10.55606/akuntansi.v2i3.294 </w:t>
      </w:r>
    </w:p>
    <w:p w:rsidR="00BC3891" w:rsidRPr="00150195" w:rsidRDefault="004562B2"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Brigham, E. F., &amp; Houston, J. F. (2021). </w:t>
      </w:r>
      <w:r w:rsidRPr="00150195">
        <w:rPr>
          <w:rStyle w:val="Penekanan"/>
          <w:rFonts w:ascii="Cambria" w:hAnsi="Cambria"/>
        </w:rPr>
        <w:t>Fundamentals of financial management</w:t>
      </w:r>
      <w:r w:rsidRPr="00150195">
        <w:rPr>
          <w:rFonts w:ascii="Cambria" w:hAnsi="Cambria"/>
        </w:rPr>
        <w:t xml:space="preserve"> (16th ed.). Cengage Learning.</w:t>
      </w:r>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Creswell, J. W., &amp; Creswell, J. D. (2018). </w:t>
      </w:r>
      <w:r w:rsidRPr="00150195">
        <w:rPr>
          <w:rStyle w:val="Penekanan"/>
          <w:rFonts w:ascii="Cambria" w:hAnsi="Cambria"/>
        </w:rPr>
        <w:t>Research design: Qualitative, quantitative, and mixed methods approaches</w:t>
      </w:r>
      <w:r w:rsidRPr="00150195">
        <w:rPr>
          <w:rFonts w:ascii="Cambria" w:hAnsi="Cambria"/>
        </w:rPr>
        <w:t xml:space="preserve"> (5th ed.). SAGE.</w:t>
      </w:r>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Connelly, B. L., Certo, S. T., Reutzel, C. R., DesJardine, M. R., &amp; Zhou, Y. S. (2025). </w:t>
      </w:r>
      <w:r w:rsidRPr="00150195">
        <w:rPr>
          <w:rStyle w:val="Penekanan"/>
          <w:rFonts w:ascii="Cambria" w:hAnsi="Cambria"/>
        </w:rPr>
        <w:t>Signaling theory: State of the theory and its future</w:t>
      </w:r>
      <w:r w:rsidRPr="00150195">
        <w:rPr>
          <w:rFonts w:ascii="Cambria" w:hAnsi="Cambria"/>
        </w:rPr>
        <w:t xml:space="preserve">. </w:t>
      </w:r>
      <w:r w:rsidRPr="00150195">
        <w:rPr>
          <w:rStyle w:val="Penekanan"/>
          <w:rFonts w:ascii="Cambria" w:hAnsi="Cambria"/>
        </w:rPr>
        <w:t>Journal of Management, 51</w:t>
      </w:r>
      <w:r w:rsidRPr="00150195">
        <w:rPr>
          <w:rFonts w:ascii="Cambria" w:hAnsi="Cambria"/>
        </w:rPr>
        <w:t xml:space="preserve">(1). </w:t>
      </w:r>
      <w:hyperlink r:id="rId16" w:tgtFrame="_new" w:history="1">
        <w:r w:rsidRPr="00150195">
          <w:rPr>
            <w:rStyle w:val="Hyperlink"/>
            <w:rFonts w:ascii="Cambria" w:hAnsi="Cambria"/>
          </w:rPr>
          <w:t>https://doi.org/10.1177/01492063241268459</w:t>
        </w:r>
      </w:hyperlink>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Ghozali, I. (2021). </w:t>
      </w:r>
      <w:r w:rsidRPr="00150195">
        <w:rPr>
          <w:rStyle w:val="Penekanan"/>
          <w:rFonts w:ascii="Cambria" w:hAnsi="Cambria"/>
        </w:rPr>
        <w:t>Aplikasi analisis multivariate dengan program IBM SPSS 26</w:t>
      </w:r>
      <w:r w:rsidRPr="00150195">
        <w:rPr>
          <w:rFonts w:ascii="Cambria" w:hAnsi="Cambria"/>
        </w:rPr>
        <w:t xml:space="preserve"> (10th ed.). Badan Penerbit Universitas Diponegoro.</w:t>
      </w:r>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Gujarati, D. N., &amp; Porter, D. C. (2009). </w:t>
      </w:r>
      <w:r w:rsidRPr="00150195">
        <w:rPr>
          <w:rStyle w:val="Penekanan"/>
          <w:rFonts w:ascii="Cambria" w:hAnsi="Cambria"/>
        </w:rPr>
        <w:t>Basic econometrics</w:t>
      </w:r>
      <w:r w:rsidRPr="00150195">
        <w:rPr>
          <w:rFonts w:ascii="Cambria" w:hAnsi="Cambria"/>
        </w:rPr>
        <w:t xml:space="preserve"> (5th ed.). McGraw-Hill.</w:t>
      </w:r>
    </w:p>
    <w:p w:rsidR="00BC3891" w:rsidRPr="00150195" w:rsidRDefault="00EE548B" w:rsidP="00BC3891">
      <w:pPr>
        <w:pBdr>
          <w:top w:val="nil"/>
          <w:left w:val="nil"/>
          <w:bottom w:val="nil"/>
          <w:right w:val="nil"/>
          <w:between w:val="nil"/>
        </w:pBdr>
        <w:ind w:left="567" w:hanging="567"/>
        <w:jc w:val="both"/>
        <w:rPr>
          <w:rFonts w:ascii="Cambria" w:hAnsi="Cambria"/>
          <w:lang w:val="en-US"/>
        </w:rPr>
      </w:pPr>
      <w:r w:rsidRPr="00150195">
        <w:rPr>
          <w:rFonts w:ascii="Cambria" w:hAnsi="Cambria"/>
        </w:rPr>
        <w:t xml:space="preserve">Hatta, E. N., &amp; Suwitho. (2018). Pengaruh struktur modal, ROA, ROE terhadap nilai perusahaan pada perusahaan telekomunikasi. </w:t>
      </w:r>
      <w:r w:rsidRPr="00150195">
        <w:rPr>
          <w:rStyle w:val="Penekanan"/>
          <w:rFonts w:ascii="Cambria" w:hAnsi="Cambria"/>
        </w:rPr>
        <w:t>Jurnal Ilmu dan Riset Manajemen, 7</w:t>
      </w:r>
      <w:r w:rsidRPr="00150195">
        <w:rPr>
          <w:rFonts w:ascii="Cambria" w:hAnsi="Cambria"/>
        </w:rPr>
        <w:t>(</w:t>
      </w:r>
      <w:r w:rsidRPr="00150195">
        <w:rPr>
          <w:rFonts w:ascii="Cambria" w:hAnsi="Cambria"/>
          <w:lang w:val="en-US"/>
        </w:rPr>
        <w:t>7)</w:t>
      </w:r>
    </w:p>
    <w:p w:rsidR="00BC3891" w:rsidRPr="00150195" w:rsidRDefault="004562B2"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Harmono. (2021). </w:t>
      </w:r>
      <w:r w:rsidRPr="00150195">
        <w:rPr>
          <w:rStyle w:val="Penekanan"/>
          <w:rFonts w:ascii="Cambria" w:hAnsi="Cambria"/>
        </w:rPr>
        <w:t>Manajemen keuangan berbasis balanced scorecard: Pendekatan teori, kasus, dan riset bisnis</w:t>
      </w:r>
      <w:r w:rsidRPr="00150195">
        <w:rPr>
          <w:rFonts w:ascii="Cambria" w:hAnsi="Cambria"/>
        </w:rPr>
        <w:t>. Bumi Aksara.</w:t>
      </w:r>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Hidayat, I., &amp; Khotimah, K. (2022). Pengaruh profitabilitas dan ukuran perusahaan terhadap nilai perusahaan sub sektor kimia. </w:t>
      </w:r>
      <w:r w:rsidRPr="00150195">
        <w:rPr>
          <w:rStyle w:val="Penekanan"/>
          <w:rFonts w:ascii="Cambria" w:hAnsi="Cambria"/>
        </w:rPr>
        <w:t>Jurnal Ilmiah Akuntansi Kesatuan, 10</w:t>
      </w:r>
      <w:r w:rsidRPr="00150195">
        <w:rPr>
          <w:rFonts w:ascii="Cambria" w:hAnsi="Cambria"/>
        </w:rPr>
        <w:t xml:space="preserve">(1), 1–8. </w:t>
      </w:r>
      <w:hyperlink r:id="rId17" w:history="1">
        <w:r w:rsidR="00C66203" w:rsidRPr="00150195">
          <w:rPr>
            <w:rStyle w:val="Hyperlink"/>
            <w:rFonts w:ascii="Cambria" w:hAnsi="Cambria"/>
          </w:rPr>
          <w:t>https://doi.org/10.37641/jiakes.v10i1.1175</w:t>
        </w:r>
      </w:hyperlink>
    </w:p>
    <w:p w:rsidR="00BC3891" w:rsidRPr="00150195" w:rsidRDefault="004562B2" w:rsidP="00BC3891">
      <w:pPr>
        <w:pBdr>
          <w:top w:val="nil"/>
          <w:left w:val="nil"/>
          <w:bottom w:val="nil"/>
          <w:right w:val="nil"/>
          <w:between w:val="nil"/>
        </w:pBdr>
        <w:ind w:left="567" w:hanging="567"/>
        <w:jc w:val="both"/>
        <w:rPr>
          <w:rFonts w:ascii="Cambria" w:hAnsi="Cambria"/>
        </w:rPr>
      </w:pPr>
      <w:r w:rsidRPr="00150195">
        <w:rPr>
          <w:rFonts w:ascii="Cambria" w:hAnsi="Cambria"/>
        </w:rPr>
        <w:lastRenderedPageBreak/>
        <w:t xml:space="preserve">Husain, F., Mas’ud, M., &amp; Alam, S. (2023). Determinants of Indonesian telecommunications industry’s firm value with dividend policy as the moderating variable. </w:t>
      </w:r>
      <w:r w:rsidRPr="00150195">
        <w:rPr>
          <w:rStyle w:val="Penekanan"/>
          <w:rFonts w:ascii="Cambria" w:hAnsi="Cambria"/>
        </w:rPr>
        <w:t>Journal of Enterprise and Development, 5</w:t>
      </w:r>
      <w:r w:rsidRPr="00150195">
        <w:rPr>
          <w:rFonts w:ascii="Cambria" w:hAnsi="Cambria"/>
        </w:rPr>
        <w:t xml:space="preserve">(1), 1–15. https://doi.org/10.20414/jed.v5i1.6803 </w:t>
      </w:r>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Indrayani, N. K. (2022). Pengaruh ukuran perusahaan, profitabilitas, kebijakan dividen, leverage dan likuiditas terhadap nilai perusahaan. </w:t>
      </w:r>
      <w:r w:rsidRPr="00150195">
        <w:rPr>
          <w:rStyle w:val="Penekanan"/>
          <w:rFonts w:ascii="Cambria" w:hAnsi="Cambria"/>
        </w:rPr>
        <w:t>Niagawan, 11</w:t>
      </w:r>
      <w:r w:rsidRPr="00150195">
        <w:rPr>
          <w:rFonts w:ascii="Cambria" w:hAnsi="Cambria"/>
        </w:rPr>
        <w:t xml:space="preserve">(1), 1–12. </w:t>
      </w:r>
      <w:hyperlink r:id="rId18" w:tgtFrame="_new" w:history="1">
        <w:r w:rsidRPr="00150195">
          <w:rPr>
            <w:rStyle w:val="Hyperlink"/>
            <w:rFonts w:ascii="Cambria" w:hAnsi="Cambria"/>
          </w:rPr>
          <w:t>https://doi.org/10.24114/niaga.v11i1.28449</w:t>
        </w:r>
      </w:hyperlink>
    </w:p>
    <w:p w:rsidR="00BC3891" w:rsidRPr="00150195" w:rsidRDefault="00EE548B" w:rsidP="00BC3891">
      <w:pPr>
        <w:pBdr>
          <w:top w:val="nil"/>
          <w:left w:val="nil"/>
          <w:bottom w:val="nil"/>
          <w:right w:val="nil"/>
          <w:between w:val="nil"/>
        </w:pBdr>
        <w:ind w:left="567" w:hanging="567"/>
        <w:jc w:val="both"/>
        <w:rPr>
          <w:rFonts w:ascii="Cambria" w:hAnsi="Cambria"/>
        </w:rPr>
      </w:pPr>
      <w:r w:rsidRPr="00150195">
        <w:rPr>
          <w:rFonts w:ascii="Cambria" w:hAnsi="Cambria"/>
        </w:rPr>
        <w:t xml:space="preserve">Kansal, A., &amp; Sharma, S. O. (2024). Evolving perspectives on capital structure and firm value: A conceptual review with reference to emerging markets. </w:t>
      </w:r>
      <w:r w:rsidRPr="00150195">
        <w:rPr>
          <w:rStyle w:val="Penekanan"/>
          <w:rFonts w:ascii="Cambria" w:hAnsi="Cambria"/>
        </w:rPr>
        <w:t>ShodhKosh, 5</w:t>
      </w:r>
      <w:r w:rsidRPr="00150195">
        <w:rPr>
          <w:rFonts w:ascii="Cambria" w:hAnsi="Cambria"/>
        </w:rPr>
        <w:t xml:space="preserve">(4), 2357–2361. </w:t>
      </w:r>
      <w:hyperlink r:id="rId19" w:history="1">
        <w:r w:rsidRPr="00150195">
          <w:rPr>
            <w:rStyle w:val="Hyperlink"/>
            <w:rFonts w:ascii="Cambria" w:hAnsi="Cambria"/>
          </w:rPr>
          <w:t>https://doi.org/10.29121/shodhkosh.v5.i4.2024.6426</w:t>
        </w:r>
      </w:hyperlink>
    </w:p>
    <w:p w:rsidR="00150195" w:rsidRPr="00150195" w:rsidRDefault="00EE548B"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Matiok, A. S. (2023). Capital structure, profitability, growth and firm value: A critical literature review. </w:t>
      </w:r>
      <w:r w:rsidRPr="00150195">
        <w:rPr>
          <w:rStyle w:val="Penekanan"/>
          <w:rFonts w:ascii="Cambria" w:hAnsi="Cambria"/>
        </w:rPr>
        <w:t>African Journal of Business and Management, 8</w:t>
      </w:r>
      <w:r w:rsidRPr="00150195">
        <w:rPr>
          <w:rFonts w:ascii="Cambria" w:hAnsi="Cambria"/>
        </w:rPr>
        <w:t>(4).</w:t>
      </w:r>
    </w:p>
    <w:p w:rsidR="00150195" w:rsidRPr="00150195" w:rsidRDefault="00EE548B"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Purwanto, E. S., &amp; Agustin, S. (2023). Pengaruh struktur modal, profitabilitas, likuiditas, dan kebijakan dividen terhadap nilai perusahaan pada perusahaan telekomunikasi yang terdaftar di BEI. </w:t>
      </w:r>
      <w:r w:rsidRPr="00150195">
        <w:rPr>
          <w:rStyle w:val="Penekanan"/>
          <w:rFonts w:ascii="Cambria" w:hAnsi="Cambria"/>
        </w:rPr>
        <w:t>Jurnal Ilmu dan Riset Manajemen, 12</w:t>
      </w:r>
      <w:r w:rsidRPr="00150195">
        <w:rPr>
          <w:rFonts w:ascii="Cambria" w:hAnsi="Cambria"/>
        </w:rPr>
        <w:t xml:space="preserve">(12). </w:t>
      </w:r>
    </w:p>
    <w:p w:rsidR="00150195" w:rsidRPr="00150195" w:rsidRDefault="00EE548B"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Rahman Borahima, F., &amp; Djaddang, S. (2026). Systematic literature review study: ESG, profitability, capital structure, and firm value. </w:t>
      </w:r>
      <w:r w:rsidRPr="00150195">
        <w:rPr>
          <w:rStyle w:val="Penekanan"/>
          <w:rFonts w:ascii="Cambria" w:hAnsi="Cambria"/>
        </w:rPr>
        <w:t>Jurnal Ar Ro’is Mandalika, 6</w:t>
      </w:r>
      <w:r w:rsidRPr="00150195">
        <w:rPr>
          <w:rFonts w:ascii="Cambria" w:hAnsi="Cambria"/>
        </w:rPr>
        <w:t xml:space="preserve">(1). </w:t>
      </w:r>
      <w:hyperlink r:id="rId20" w:history="1">
        <w:r w:rsidR="00C66203" w:rsidRPr="00150195">
          <w:rPr>
            <w:rStyle w:val="Hyperlink"/>
            <w:rFonts w:ascii="Cambria" w:hAnsi="Cambria"/>
          </w:rPr>
          <w:t>https://doi.org/10.59613/armada.v6i1.5674</w:t>
        </w:r>
      </w:hyperlink>
    </w:p>
    <w:p w:rsidR="00150195" w:rsidRPr="00150195" w:rsidRDefault="004562B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Ross, S. A., Westerfield, R. W., &amp; Jordan, B. D. (2020). </w:t>
      </w:r>
      <w:r w:rsidRPr="00150195">
        <w:rPr>
          <w:rStyle w:val="Penekanan"/>
          <w:rFonts w:ascii="Cambria" w:hAnsi="Cambria"/>
        </w:rPr>
        <w:t>Corporate finance</w:t>
      </w:r>
      <w:r w:rsidRPr="00150195">
        <w:rPr>
          <w:rFonts w:ascii="Cambria" w:hAnsi="Cambria"/>
        </w:rPr>
        <w:t xml:space="preserve"> (13th ed.). McGraw-Hill.</w:t>
      </w:r>
    </w:p>
    <w:p w:rsidR="00150195" w:rsidRPr="00150195" w:rsidRDefault="004562B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Romauli, E., Suhardi, S., &amp; Deseria, R. (2026). Financial determinants of firm value in telecommunications companies: Evidence from the Indonesian stock exchange. </w:t>
      </w:r>
      <w:r w:rsidRPr="00150195">
        <w:rPr>
          <w:rStyle w:val="Penekanan"/>
          <w:rFonts w:ascii="Cambria" w:hAnsi="Cambria"/>
        </w:rPr>
        <w:t>Economic: Journal Economic and Business, 5</w:t>
      </w:r>
      <w:r w:rsidRPr="00150195">
        <w:rPr>
          <w:rFonts w:ascii="Cambria" w:hAnsi="Cambria"/>
        </w:rPr>
        <w:t xml:space="preserve">(2), 321–330. https://doi.org/10.56495/ejeb.v5i2.1586 </w:t>
      </w:r>
    </w:p>
    <w:p w:rsidR="00150195" w:rsidRPr="00150195" w:rsidRDefault="00EE548B"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Rinnaya, I. Y., Andini, R., &amp; Oemar, A. (2016). Pengaruh profitabilitas, rasio aktivitas, keputusan pendanaan, dan keputusan investasi terhadap nilai perusahaan. </w:t>
      </w:r>
      <w:r w:rsidRPr="00150195">
        <w:rPr>
          <w:rStyle w:val="Penekanan"/>
          <w:rFonts w:ascii="Cambria" w:hAnsi="Cambria"/>
        </w:rPr>
        <w:t>Journal of Accounting, 2</w:t>
      </w:r>
      <w:r w:rsidRPr="00150195">
        <w:rPr>
          <w:rFonts w:ascii="Cambria" w:hAnsi="Cambria"/>
        </w:rPr>
        <w:t>(2), 1–18.</w:t>
      </w:r>
    </w:p>
    <w:p w:rsidR="00150195" w:rsidRPr="00150195" w:rsidRDefault="00EE548B"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Sahyu, A. (2023). Pengaruh profitabilitas, likuiditas, solvabilitas dan aktivitas terhadap nilai perusahaan. </w:t>
      </w:r>
      <w:r w:rsidRPr="00150195">
        <w:rPr>
          <w:rStyle w:val="Penekanan"/>
          <w:rFonts w:ascii="Cambria" w:hAnsi="Cambria"/>
        </w:rPr>
        <w:t>Hita Akuntansi dan Keuangan, 4</w:t>
      </w:r>
      <w:r w:rsidRPr="00150195">
        <w:rPr>
          <w:rFonts w:ascii="Cambria" w:hAnsi="Cambria"/>
        </w:rPr>
        <w:t xml:space="preserve">(3), 69–82. </w:t>
      </w:r>
      <w:hyperlink r:id="rId21" w:history="1">
        <w:r w:rsidR="00C66203" w:rsidRPr="00150195">
          <w:rPr>
            <w:rStyle w:val="Hyperlink"/>
            <w:rFonts w:ascii="Cambria" w:hAnsi="Cambria"/>
          </w:rPr>
          <w:t>https://doi.org/10.32795/hak.v4i3.2860</w:t>
        </w:r>
      </w:hyperlink>
    </w:p>
    <w:p w:rsidR="00150195" w:rsidRPr="00150195" w:rsidRDefault="004562B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Sanusi, F., Fuspawita, N., &amp; Januarsi, Y. (2023). Capital structure, profitability, and firm value: Does firm’s dividend policy matter? Evidence from telecommunication industry. </w:t>
      </w:r>
    </w:p>
    <w:p w:rsidR="00150195" w:rsidRPr="00150195" w:rsidRDefault="004562B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Syahputra, R., &amp; Yuniati, T. (2023). Pengaruh profitabilitas, struktur modal, dan ukuran perusahaan terhadap nilai perusahaan pada perusahaan telekomunikasi yang terdaftar di Bursa Efek Indonesia periode 2014–2021. </w:t>
      </w:r>
      <w:r w:rsidRPr="00150195">
        <w:rPr>
          <w:rStyle w:val="Penekanan"/>
          <w:rFonts w:ascii="Cambria" w:hAnsi="Cambria"/>
        </w:rPr>
        <w:t>Jurnal Ilmu dan Riset Manajemen, 12</w:t>
      </w:r>
      <w:r w:rsidRPr="00150195">
        <w:rPr>
          <w:rFonts w:ascii="Cambria" w:hAnsi="Cambria"/>
        </w:rPr>
        <w:t xml:space="preserve">(2). </w:t>
      </w:r>
    </w:p>
    <w:p w:rsidR="00150195" w:rsidRPr="00150195" w:rsidRDefault="007607E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Sekaran, U., &amp; Bougie, R. (2016). </w:t>
      </w:r>
      <w:r w:rsidRPr="00150195">
        <w:rPr>
          <w:rStyle w:val="Penekanan"/>
          <w:rFonts w:ascii="Cambria" w:hAnsi="Cambria"/>
        </w:rPr>
        <w:t>Research methods for business</w:t>
      </w:r>
      <w:r w:rsidRPr="00150195">
        <w:rPr>
          <w:rFonts w:ascii="Cambria" w:hAnsi="Cambria"/>
        </w:rPr>
        <w:t xml:space="preserve"> (7th ed.). Wiley.</w:t>
      </w:r>
    </w:p>
    <w:p w:rsidR="00150195" w:rsidRPr="00150195" w:rsidRDefault="007607E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Sugiyono. (2021). </w:t>
      </w:r>
      <w:r w:rsidRPr="00150195">
        <w:rPr>
          <w:rStyle w:val="Penekanan"/>
          <w:rFonts w:ascii="Cambria" w:hAnsi="Cambria"/>
        </w:rPr>
        <w:t>Metode penelitian kuantitatif, kualitatif, dan R&amp;D</w:t>
      </w:r>
      <w:r w:rsidRPr="00150195">
        <w:rPr>
          <w:rFonts w:ascii="Cambria" w:hAnsi="Cambria"/>
        </w:rPr>
        <w:t>. Alfabeta.</w:t>
      </w:r>
    </w:p>
    <w:p w:rsidR="00150195" w:rsidRPr="00150195" w:rsidRDefault="007607E2"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Zamani, M. A., Wahyuni, E. T., Ritchi, H., &amp; Fitrijanti, T. (2025). Snowballing signaling theory in startup valuation: A systematic review on investor behavior, market forces and growth dynamics. </w:t>
      </w:r>
      <w:r w:rsidRPr="00150195">
        <w:rPr>
          <w:rStyle w:val="Penekanan"/>
          <w:rFonts w:ascii="Cambria" w:hAnsi="Cambria"/>
        </w:rPr>
        <w:t>Cogent Business &amp; Management, 12</w:t>
      </w:r>
      <w:r w:rsidRPr="00150195">
        <w:rPr>
          <w:rFonts w:ascii="Cambria" w:hAnsi="Cambria"/>
        </w:rPr>
        <w:t xml:space="preserve">(1). </w:t>
      </w:r>
      <w:hyperlink r:id="rId22" w:history="1">
        <w:r w:rsidR="00EE548B" w:rsidRPr="00150195">
          <w:rPr>
            <w:rStyle w:val="Hyperlink"/>
            <w:rFonts w:ascii="Cambria" w:hAnsi="Cambria"/>
          </w:rPr>
          <w:t>https://doi.org/10.1080/23311975.2025.2530752</w:t>
        </w:r>
      </w:hyperlink>
    </w:p>
    <w:p w:rsidR="00EE548B" w:rsidRPr="00150195" w:rsidRDefault="00EE548B" w:rsidP="00150195">
      <w:pPr>
        <w:pBdr>
          <w:top w:val="nil"/>
          <w:left w:val="nil"/>
          <w:bottom w:val="nil"/>
          <w:right w:val="nil"/>
          <w:between w:val="nil"/>
        </w:pBdr>
        <w:ind w:left="567" w:hanging="567"/>
        <w:jc w:val="both"/>
        <w:rPr>
          <w:rFonts w:ascii="Cambria" w:hAnsi="Cambria"/>
        </w:rPr>
      </w:pPr>
      <w:r w:rsidRPr="00150195">
        <w:rPr>
          <w:rFonts w:ascii="Cambria" w:hAnsi="Cambria"/>
        </w:rPr>
        <w:t xml:space="preserve">Zafira, N. N. I., &amp; Rochdianingrum, W. A. (2026). Pengaruh struktur modal, profitabilitas dan likuiditas terhadap nilai perusahaan telekomunikasi yang terdaftar di BEI tahun 2019–2023. </w:t>
      </w:r>
      <w:r w:rsidRPr="00150195">
        <w:rPr>
          <w:rStyle w:val="Penekanan"/>
          <w:rFonts w:ascii="Cambria" w:hAnsi="Cambria"/>
        </w:rPr>
        <w:t>Jurnal Ilmu dan Riset Manajemen, 15</w:t>
      </w:r>
      <w:r w:rsidRPr="00150195">
        <w:rPr>
          <w:rFonts w:ascii="Cambria" w:hAnsi="Cambria"/>
        </w:rPr>
        <w:t xml:space="preserve">(4). </w:t>
      </w:r>
    </w:p>
    <w:p w:rsidR="00923102" w:rsidRPr="00150195" w:rsidRDefault="00923102" w:rsidP="00504223">
      <w:pPr>
        <w:pStyle w:val="z-AtasdariFormulir"/>
        <w:rPr>
          <w:rFonts w:ascii="Cambria" w:hAnsi="Cambria"/>
          <w:sz w:val="24"/>
          <w:szCs w:val="24"/>
        </w:rPr>
      </w:pPr>
      <w:r w:rsidRPr="00150195">
        <w:rPr>
          <w:rFonts w:ascii="Cambria" w:hAnsi="Cambria"/>
          <w:sz w:val="24"/>
          <w:szCs w:val="24"/>
        </w:rPr>
        <w:t>Bagian Atas Formulir</w:t>
      </w:r>
    </w:p>
    <w:p w:rsidR="00E31694" w:rsidRPr="00150195" w:rsidRDefault="00E31694">
      <w:pPr>
        <w:rPr>
          <w:rFonts w:ascii="Cambria" w:hAnsi="Cambria"/>
        </w:rPr>
      </w:pPr>
    </w:p>
    <w:sectPr w:rsidR="00E31694" w:rsidRPr="00150195" w:rsidSect="00E8378D">
      <w:headerReference w:type="even" r:id="rId23"/>
      <w:headerReference w:type="default" r:id="rId24"/>
      <w:footerReference w:type="even" r:id="rId25"/>
      <w:footerReference w:type="default" r:id="rId26"/>
      <w:headerReference w:type="first" r:id="rId27"/>
      <w:footerReference w:type="first" r:id="rId28"/>
      <w:pgSz w:w="11907" w:h="16839"/>
      <w:pgMar w:top="1418"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0C23" w:rsidRDefault="007B0C23" w:rsidP="00DA6497">
      <w:r>
        <w:separator/>
      </w:r>
    </w:p>
  </w:endnote>
  <w:endnote w:type="continuationSeparator" w:id="0">
    <w:p w:rsidR="007B0C23" w:rsidRDefault="007B0C23" w:rsidP="00DA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B Garamond">
    <w:panose1 w:val="00000500000000000000"/>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2E3DB4">
    <w:pPr>
      <w:pStyle w:val="Footer"/>
      <w:jc w:val="right"/>
    </w:pPr>
    <w:hyperlink r:id="rId1" w:history="1">
      <w:r w:rsidRPr="00372B08">
        <w:rPr>
          <w:rStyle w:val="Hyperlink"/>
        </w:rPr>
        <w:t>https://jurnal.staihwduri.ac.id/index.php/finest/index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2E3DB4">
    <w:pPr>
      <w:pStyle w:val="Footer"/>
      <w:jc w:val="right"/>
    </w:pPr>
    <w:hyperlink r:id="rId1" w:history="1">
      <w:r w:rsidRPr="00372B08">
        <w:rPr>
          <w:rStyle w:val="Hyperlink"/>
        </w:rPr>
        <w:t>https://jurnal.staihwduri.ac.id/index.php/finest/index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2E3DB4" w:rsidRDefault="00000000" w:rsidP="002E3DB4">
    <w:pPr>
      <w:pStyle w:val="Footer"/>
      <w:jc w:val="right"/>
    </w:pPr>
    <w:hyperlink r:id="rId1" w:history="1">
      <w:r w:rsidRPr="00372B08">
        <w:rPr>
          <w:rStyle w:val="Hyperlink"/>
        </w:rPr>
        <w:t>https://jurnal.staihwduri.ac.id/index.php/finest/index</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0C23" w:rsidRDefault="007B0C23" w:rsidP="00DA6497">
      <w:r>
        <w:separator/>
      </w:r>
    </w:p>
  </w:footnote>
  <w:footnote w:type="continuationSeparator" w:id="0">
    <w:p w:rsidR="007B0C23" w:rsidRDefault="007B0C23" w:rsidP="00DA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2E3DB4">
    <w:pPr>
      <w:pBdr>
        <w:top w:val="nil"/>
        <w:left w:val="nil"/>
        <w:bottom w:val="nil"/>
        <w:right w:val="nil"/>
        <w:between w:val="nil"/>
      </w:pBdr>
      <w:tabs>
        <w:tab w:val="center" w:pos="4680"/>
        <w:tab w:val="right" w:pos="9360"/>
      </w:tabs>
      <w:jc w:val="right"/>
      <w:rPr>
        <w:rFonts w:ascii="EB Garamond" w:eastAsia="EB Garamond" w:hAnsi="EB Garamond" w:cs="EB Garamond"/>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Bdr>
        <w:top w:val="nil"/>
        <w:left w:val="nil"/>
        <w:bottom w:val="nil"/>
        <w:right w:val="nil"/>
        <w:between w:val="nil"/>
      </w:pBdr>
      <w:tabs>
        <w:tab w:val="center" w:pos="4680"/>
        <w:tab w:val="right" w:pos="9360"/>
        <w:tab w:val="right" w:pos="9071"/>
      </w:tabs>
      <w:jc w:val="right"/>
      <w:rPr>
        <w:rFonts w:ascii="EB Garamond" w:eastAsia="EB Garamond" w:hAnsi="EB Garamond" w:cs="EB Garamond"/>
        <w:color w:val="000000"/>
        <w:sz w:val="22"/>
        <w:szCs w:val="22"/>
      </w:rPr>
    </w:pPr>
    <w:r>
      <w:rPr>
        <w:rFonts w:ascii="EB Garamond" w:eastAsia="EB Garamond" w:hAnsi="EB Garamond" w:cs="EB Garamond"/>
        <w:color w:val="000000"/>
        <w:sz w:val="22"/>
        <w:szCs w:val="22"/>
      </w:rPr>
      <w:fldChar w:fldCharType="begin"/>
    </w:r>
    <w:r>
      <w:rPr>
        <w:rFonts w:ascii="EB Garamond" w:eastAsia="EB Garamond" w:hAnsi="EB Garamond" w:cs="EB Garamond"/>
        <w:color w:val="000000"/>
        <w:sz w:val="22"/>
        <w:szCs w:val="22"/>
      </w:rPr>
      <w:instrText>PAGE</w:instrText>
    </w:r>
    <w:r>
      <w:rPr>
        <w:rFonts w:ascii="EB Garamond" w:eastAsia="EB Garamond" w:hAnsi="EB Garamond" w:cs="EB Garamond"/>
        <w:color w:val="000000"/>
        <w:sz w:val="22"/>
        <w:szCs w:val="22"/>
      </w:rPr>
      <w:fldChar w:fldCharType="separate"/>
    </w:r>
    <w:r>
      <w:rPr>
        <w:rFonts w:ascii="EB Garamond" w:eastAsia="EB Garamond" w:hAnsi="EB Garamond" w:cs="EB Garamond"/>
        <w:noProof/>
        <w:color w:val="000000"/>
        <w:sz w:val="22"/>
        <w:szCs w:val="22"/>
      </w:rPr>
      <w:t>7</w:t>
    </w:r>
    <w:r>
      <w:rPr>
        <w:rFonts w:ascii="EB Garamond" w:eastAsia="EB Garamond" w:hAnsi="EB Garamond" w:cs="EB Garamond"/>
        <w:color w:val="000000"/>
        <w:sz w:val="22"/>
        <w:szCs w:val="22"/>
      </w:rPr>
      <w:fldChar w:fldCharType="end"/>
    </w:r>
    <w:r>
      <w:rPr>
        <w:rFonts w:ascii="EB Garamond" w:eastAsia="EB Garamond" w:hAnsi="EB Garamond" w:cs="EB Garamond"/>
        <w:color w:val="000000"/>
        <w:sz w:val="22"/>
        <w:szCs w:val="22"/>
      </w:rPr>
      <w:tab/>
    </w:r>
    <w:r w:rsidR="00DA6497">
      <w:rPr>
        <w:rFonts w:ascii="EB Garamond" w:eastAsia="EB Garamond" w:hAnsi="EB Garamond" w:cs="EB Garamond"/>
        <w:color w:val="000000"/>
        <w:sz w:val="22"/>
        <w:szCs w:val="22"/>
        <w:lang w:val="en-US"/>
      </w:rPr>
      <w:t>Pengaruh Debt to Equity Ratio, Earning Per Sahre dan Return on Equity Terhadap Nilai Perusahaan Pada Perusahaan Manufaktur Sektor Telecommunication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E8378D">
    <w:pPr>
      <w:pBdr>
        <w:top w:val="nil"/>
        <w:left w:val="nil"/>
        <w:bottom w:val="nil"/>
        <w:right w:val="nil"/>
        <w:between w:val="nil"/>
      </w:pBdr>
      <w:tabs>
        <w:tab w:val="center" w:pos="4680"/>
        <w:tab w:val="right" w:pos="9360"/>
      </w:tabs>
      <w:jc w:val="right"/>
      <w:rPr>
        <w:rFonts w:ascii="EB Garamond" w:eastAsia="EB Garamond" w:hAnsi="EB Garamond" w:cs="EB Garamond"/>
        <w:b/>
        <w:color w:val="000000"/>
      </w:rPr>
    </w:pPr>
    <w:r>
      <w:rPr>
        <w:rFonts w:ascii="EB Garamond" w:eastAsia="EB Garamond" w:hAnsi="EB Garamond" w:cs="EB Garamond"/>
        <w:b/>
        <w:color w:val="000000"/>
      </w:rPr>
      <w:t xml:space="preserve">Finest: Jurnal Riset </w:t>
    </w:r>
    <w:r>
      <w:rPr>
        <w:rFonts w:ascii="EB Garamond" w:eastAsia="EB Garamond" w:hAnsi="EB Garamond" w:cs="EB Garamond"/>
        <w:b/>
        <w:color w:val="000000"/>
        <w:lang w:val="en-US"/>
      </w:rPr>
      <w:t>dan</w:t>
    </w:r>
    <w:r>
      <w:rPr>
        <w:rFonts w:ascii="EB Garamond" w:eastAsia="EB Garamond" w:hAnsi="EB Garamond" w:cs="EB Garamond"/>
        <w:b/>
        <w:color w:val="000000"/>
      </w:rPr>
      <w:t xml:space="preserve"> Pengembangan Ekonomi Islam, Vol. </w:t>
    </w:r>
    <w:r>
      <w:rPr>
        <w:rFonts w:ascii="EB Garamond" w:eastAsia="EB Garamond" w:hAnsi="EB Garamond" w:cs="EB Garamond"/>
        <w:b/>
        <w:color w:val="000000"/>
        <w:lang w:val="en-US"/>
      </w:rPr>
      <w:t>10</w:t>
    </w:r>
    <w:r>
      <w:rPr>
        <w:rFonts w:ascii="EB Garamond" w:eastAsia="EB Garamond" w:hAnsi="EB Garamond" w:cs="EB Garamond"/>
        <w:b/>
        <w:color w:val="000000"/>
      </w:rPr>
      <w:t>, 1 (Juni, 202</w:t>
    </w:r>
    <w:r>
      <w:rPr>
        <w:rFonts w:ascii="EB Garamond" w:eastAsia="EB Garamond" w:hAnsi="EB Garamond" w:cs="EB Garamond"/>
        <w:b/>
        <w:color w:val="000000"/>
        <w:lang w:val="en-US"/>
      </w:rPr>
      <w:t>6</w:t>
    </w:r>
    <w:r>
      <w:rPr>
        <w:rFonts w:ascii="EB Garamond" w:eastAsia="EB Garamond" w:hAnsi="EB Garamond" w:cs="EB Garamond"/>
        <w:b/>
        <w:color w:val="000000"/>
      </w:rPr>
      <w:t>), pp. 1-1</w:t>
    </w:r>
    <w:r>
      <w:rPr>
        <w:rFonts w:ascii="EB Garamond" w:eastAsia="EB Garamond" w:hAnsi="EB Garamond" w:cs="EB Garamond"/>
        <w:b/>
        <w:color w:val="000000"/>
        <w:lang w:val="en-US"/>
      </w:rPr>
      <w:t>2</w:t>
    </w:r>
    <w:r>
      <w:rPr>
        <w:rFonts w:ascii="EB Garamond" w:eastAsia="EB Garamond" w:hAnsi="EB Garamond" w:cs="EB Garamond"/>
        <w:b/>
        <w:color w:val="000000"/>
      </w:rPr>
      <w:t>, ISSN: 2685-0117 EISSN: 2775-5908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F5D"/>
    <w:multiLevelType w:val="hybridMultilevel"/>
    <w:tmpl w:val="BF3CDC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AE0A2D"/>
    <w:multiLevelType w:val="hybridMultilevel"/>
    <w:tmpl w:val="F25070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DC47AE"/>
    <w:multiLevelType w:val="hybridMultilevel"/>
    <w:tmpl w:val="9E70CD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A3C5889"/>
    <w:multiLevelType w:val="hybridMultilevel"/>
    <w:tmpl w:val="03227FEC"/>
    <w:lvl w:ilvl="0" w:tplc="00B68804">
      <w:start w:val="1"/>
      <w:numFmt w:val="decimal"/>
      <w:lvlText w:val="%1."/>
      <w:lvlJc w:val="left"/>
      <w:pPr>
        <w:ind w:left="1440" w:hanging="360"/>
      </w:pPr>
      <w:rPr>
        <w:rFonts w:ascii="Times New Roman" w:hAnsi="Times New Roman" w:cs="Times New Roman"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912621555">
    <w:abstractNumId w:val="2"/>
  </w:num>
  <w:num w:numId="2" w16cid:durableId="1144351374">
    <w:abstractNumId w:val="3"/>
  </w:num>
  <w:num w:numId="3" w16cid:durableId="773406987">
    <w:abstractNumId w:val="1"/>
  </w:num>
  <w:num w:numId="4" w16cid:durableId="202192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97"/>
    <w:rsid w:val="00150195"/>
    <w:rsid w:val="00363F86"/>
    <w:rsid w:val="00375366"/>
    <w:rsid w:val="004562B2"/>
    <w:rsid w:val="00504223"/>
    <w:rsid w:val="00524237"/>
    <w:rsid w:val="0058294C"/>
    <w:rsid w:val="00673D89"/>
    <w:rsid w:val="006A0E97"/>
    <w:rsid w:val="007607E2"/>
    <w:rsid w:val="007B0C23"/>
    <w:rsid w:val="008129F8"/>
    <w:rsid w:val="00840273"/>
    <w:rsid w:val="00863F6F"/>
    <w:rsid w:val="008F6C06"/>
    <w:rsid w:val="00923102"/>
    <w:rsid w:val="009D6A6D"/>
    <w:rsid w:val="00AF3A1E"/>
    <w:rsid w:val="00BC3891"/>
    <w:rsid w:val="00C325EB"/>
    <w:rsid w:val="00C66203"/>
    <w:rsid w:val="00CC6894"/>
    <w:rsid w:val="00CD0545"/>
    <w:rsid w:val="00D9436D"/>
    <w:rsid w:val="00DA6497"/>
    <w:rsid w:val="00E178C1"/>
    <w:rsid w:val="00E31694"/>
    <w:rsid w:val="00E37695"/>
    <w:rsid w:val="00EE548B"/>
    <w:rsid w:val="00EE60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29F9"/>
  <w15:chartTrackingRefBased/>
  <w15:docId w15:val="{5C303CB5-1BF2-A74E-B022-CB971E52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97"/>
    <w:rPr>
      <w:rFonts w:ascii="Times New Roman" w:eastAsia="Times New Roman" w:hAnsi="Times New Roman" w:cs="Times New Roman"/>
      <w:kern w:val="0"/>
      <w:lang w:eastAsia="id-ID"/>
      <w14:ligatures w14:val="none"/>
    </w:rPr>
  </w:style>
  <w:style w:type="paragraph" w:styleId="Judul1">
    <w:name w:val="heading 1"/>
    <w:basedOn w:val="Normal"/>
    <w:next w:val="TidakAdaSpasi"/>
    <w:link w:val="Judul1KAR"/>
    <w:uiPriority w:val="9"/>
    <w:qFormat/>
    <w:rsid w:val="00DA6497"/>
    <w:pPr>
      <w:keepNext/>
      <w:keepLines/>
      <w:spacing w:before="240"/>
      <w:jc w:val="both"/>
      <w:outlineLvl w:val="0"/>
    </w:pPr>
    <w:rPr>
      <w:rFonts w:ascii="Bookman Old Style" w:eastAsiaTheme="majorEastAsia" w:hAnsi="Bookman Old Style" w:cstheme="majorBidi"/>
      <w:sz w:val="28"/>
      <w:szCs w:val="32"/>
    </w:rPr>
  </w:style>
  <w:style w:type="paragraph" w:styleId="Judul2">
    <w:name w:val="heading 2"/>
    <w:basedOn w:val="Normal"/>
    <w:next w:val="Normal"/>
    <w:link w:val="Judul2KAR"/>
    <w:uiPriority w:val="9"/>
    <w:unhideWhenUsed/>
    <w:qFormat/>
    <w:rsid w:val="00DA64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7607E2"/>
    <w:pPr>
      <w:keepNext/>
      <w:keepLines/>
      <w:spacing w:before="40"/>
      <w:outlineLvl w:val="2"/>
    </w:pPr>
    <w:rPr>
      <w:rFonts w:asciiTheme="majorHAnsi" w:eastAsiaTheme="majorEastAsia" w:hAnsiTheme="majorHAnsi" w:cstheme="majorBidi"/>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A6497"/>
    <w:rPr>
      <w:rFonts w:ascii="Bookman Old Style" w:eastAsiaTheme="majorEastAsia" w:hAnsi="Bookman Old Style" w:cstheme="majorBidi"/>
      <w:kern w:val="0"/>
      <w:sz w:val="28"/>
      <w:szCs w:val="32"/>
      <w:lang w:eastAsia="id-ID"/>
      <w14:ligatures w14:val="none"/>
    </w:rPr>
  </w:style>
  <w:style w:type="character" w:customStyle="1" w:styleId="Judul2KAR">
    <w:name w:val="Judul 2 KAR"/>
    <w:basedOn w:val="FontParagrafDefault"/>
    <w:link w:val="Judul2"/>
    <w:uiPriority w:val="9"/>
    <w:rsid w:val="00DA6497"/>
    <w:rPr>
      <w:rFonts w:asciiTheme="majorHAnsi" w:eastAsiaTheme="majorEastAsia" w:hAnsiTheme="majorHAnsi" w:cstheme="majorBidi"/>
      <w:color w:val="2F5496" w:themeColor="accent1" w:themeShade="BF"/>
      <w:kern w:val="0"/>
      <w:sz w:val="26"/>
      <w:szCs w:val="26"/>
      <w:lang w:eastAsia="id-ID"/>
      <w14:ligatures w14:val="none"/>
    </w:rPr>
  </w:style>
  <w:style w:type="paragraph" w:styleId="TidakAdaSpasi">
    <w:name w:val="No Spacing"/>
    <w:aliases w:val="Tulisan,hidayat"/>
    <w:basedOn w:val="Normal"/>
    <w:link w:val="TidakAdaSpasiKAR"/>
    <w:uiPriority w:val="1"/>
    <w:qFormat/>
    <w:rsid w:val="00DA6497"/>
    <w:pPr>
      <w:jc w:val="both"/>
    </w:pPr>
  </w:style>
  <w:style w:type="paragraph" w:styleId="Footer">
    <w:name w:val="footer"/>
    <w:basedOn w:val="Normal"/>
    <w:link w:val="FooterKAR"/>
    <w:uiPriority w:val="99"/>
    <w:unhideWhenUsed/>
    <w:rsid w:val="00DA6497"/>
    <w:pPr>
      <w:tabs>
        <w:tab w:val="center" w:pos="4680"/>
        <w:tab w:val="right" w:pos="9360"/>
      </w:tabs>
    </w:pPr>
  </w:style>
  <w:style w:type="character" w:customStyle="1" w:styleId="FooterKAR">
    <w:name w:val="Footer KAR"/>
    <w:basedOn w:val="FontParagrafDefault"/>
    <w:link w:val="Footer"/>
    <w:uiPriority w:val="99"/>
    <w:rsid w:val="00DA6497"/>
    <w:rPr>
      <w:rFonts w:ascii="Times New Roman" w:eastAsia="Times New Roman" w:hAnsi="Times New Roman" w:cs="Times New Roman"/>
      <w:kern w:val="0"/>
      <w:lang w:eastAsia="id-ID"/>
      <w14:ligatures w14:val="none"/>
    </w:rPr>
  </w:style>
  <w:style w:type="table" w:styleId="KisiTabel">
    <w:name w:val="Table Grid"/>
    <w:basedOn w:val="TabelNormal"/>
    <w:uiPriority w:val="39"/>
    <w:rsid w:val="00DA6497"/>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A6497"/>
    <w:rPr>
      <w:color w:val="0563C1" w:themeColor="hyperlink"/>
      <w:u w:val="single"/>
    </w:rPr>
  </w:style>
  <w:style w:type="paragraph" w:styleId="DaftarParagraf">
    <w:name w:val="List Paragraph"/>
    <w:aliases w:val="Heading 10,awal,List Paragraph2,Heading 11,Heading 12,Heading 13,HEADING 1,Body of text,point-point,PARAGRAPH,anak bab.,kepala,spasi 2 taiiii,skripsi,Char Char2,sub de titre 4,ANNEX,TABEL,Char Char21,Tabel,Normal ind,Body Text Char1"/>
    <w:basedOn w:val="Normal"/>
    <w:link w:val="DaftarParagrafKAR"/>
    <w:uiPriority w:val="34"/>
    <w:qFormat/>
    <w:rsid w:val="00DA6497"/>
    <w:pPr>
      <w:spacing w:after="200" w:line="276" w:lineRule="auto"/>
      <w:ind w:left="720"/>
      <w:contextualSpacing/>
    </w:pPr>
  </w:style>
  <w:style w:type="character" w:customStyle="1" w:styleId="DaftarParagrafKAR">
    <w:name w:val="Daftar Paragraf KAR"/>
    <w:aliases w:val="Heading 10 KAR,awal KAR,List Paragraph2 KAR,Heading 11 KAR,Heading 12 KAR,Heading 13 KAR,HEADING 1 KAR,Body of text KAR,point-point KAR,PARAGRAPH KAR,anak bab. KAR,kepala KAR,spasi 2 taiiii KAR,skripsi KAR,Char Char2 KAR,ANNEX KAR"/>
    <w:basedOn w:val="FontParagrafDefault"/>
    <w:link w:val="DaftarParagraf"/>
    <w:uiPriority w:val="34"/>
    <w:qFormat/>
    <w:locked/>
    <w:rsid w:val="00DA6497"/>
    <w:rPr>
      <w:rFonts w:ascii="Times New Roman" w:eastAsia="Times New Roman" w:hAnsi="Times New Roman" w:cs="Times New Roman"/>
      <w:kern w:val="0"/>
      <w:lang w:eastAsia="id-ID"/>
      <w14:ligatures w14:val="none"/>
    </w:rPr>
  </w:style>
  <w:style w:type="character" w:customStyle="1" w:styleId="TidakAdaSpasiKAR">
    <w:name w:val="Tidak Ada Spasi KAR"/>
    <w:aliases w:val="Tulisan KAR,hidayat KAR"/>
    <w:basedOn w:val="FontParagrafDefault"/>
    <w:link w:val="TidakAdaSpasi"/>
    <w:uiPriority w:val="1"/>
    <w:rsid w:val="00DA6497"/>
    <w:rPr>
      <w:rFonts w:ascii="Times New Roman" w:eastAsia="Times New Roman" w:hAnsi="Times New Roman" w:cs="Times New Roman"/>
      <w:kern w:val="0"/>
      <w:lang w:eastAsia="id-ID"/>
      <w14:ligatures w14:val="none"/>
    </w:rPr>
  </w:style>
  <w:style w:type="paragraph" w:styleId="NormalWeb">
    <w:name w:val="Normal (Web)"/>
    <w:basedOn w:val="Normal"/>
    <w:uiPriority w:val="99"/>
    <w:unhideWhenUsed/>
    <w:rsid w:val="00DA6497"/>
    <w:pPr>
      <w:spacing w:before="100" w:beforeAutospacing="1" w:after="100" w:afterAutospacing="1"/>
    </w:pPr>
  </w:style>
  <w:style w:type="character" w:styleId="Penekanan">
    <w:name w:val="Emphasis"/>
    <w:basedOn w:val="FontParagrafDefault"/>
    <w:uiPriority w:val="20"/>
    <w:qFormat/>
    <w:rsid w:val="00DA6497"/>
    <w:rPr>
      <w:i/>
      <w:iCs/>
    </w:rPr>
  </w:style>
  <w:style w:type="paragraph" w:styleId="HTMLSudahDiformat">
    <w:name w:val="HTML Preformatted"/>
    <w:basedOn w:val="Normal"/>
    <w:link w:val="HTMLSudahDiformatKAR"/>
    <w:uiPriority w:val="99"/>
    <w:unhideWhenUsed/>
    <w:rsid w:val="00DA6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DA6497"/>
    <w:rPr>
      <w:rFonts w:ascii="Courier New" w:eastAsia="Times New Roman" w:hAnsi="Courier New" w:cs="Courier New"/>
      <w:kern w:val="0"/>
      <w:sz w:val="20"/>
      <w:szCs w:val="20"/>
      <w:lang w:eastAsia="id-ID"/>
      <w14:ligatures w14:val="none"/>
    </w:rPr>
  </w:style>
  <w:style w:type="character" w:styleId="Kuat">
    <w:name w:val="Strong"/>
    <w:basedOn w:val="FontParagrafDefault"/>
    <w:uiPriority w:val="22"/>
    <w:qFormat/>
    <w:rsid w:val="00DA6497"/>
    <w:rPr>
      <w:b/>
      <w:bCs/>
    </w:rPr>
  </w:style>
  <w:style w:type="paragraph" w:styleId="TeksIsi">
    <w:name w:val="Body Text"/>
    <w:basedOn w:val="Normal"/>
    <w:link w:val="TeksIsiKAR"/>
    <w:uiPriority w:val="1"/>
    <w:qFormat/>
    <w:rsid w:val="00DA6497"/>
    <w:pPr>
      <w:widowControl w:val="0"/>
      <w:autoSpaceDE w:val="0"/>
      <w:autoSpaceDN w:val="0"/>
    </w:pPr>
    <w:rPr>
      <w:rFonts w:ascii="Calibri" w:eastAsia="Calibri" w:hAnsi="Calibri" w:cs="Calibri"/>
      <w:sz w:val="22"/>
      <w:szCs w:val="22"/>
      <w:lang w:val="id" w:eastAsia="en-US"/>
    </w:rPr>
  </w:style>
  <w:style w:type="character" w:customStyle="1" w:styleId="TeksIsiKAR">
    <w:name w:val="Teks Isi KAR"/>
    <w:basedOn w:val="FontParagrafDefault"/>
    <w:link w:val="TeksIsi"/>
    <w:uiPriority w:val="1"/>
    <w:rsid w:val="00DA6497"/>
    <w:rPr>
      <w:rFonts w:ascii="Calibri" w:eastAsia="Calibri" w:hAnsi="Calibri" w:cs="Calibri"/>
      <w:kern w:val="0"/>
      <w:sz w:val="22"/>
      <w:szCs w:val="22"/>
      <w:lang w:val="id"/>
      <w14:ligatures w14:val="none"/>
    </w:rPr>
  </w:style>
  <w:style w:type="paragraph" w:customStyle="1" w:styleId="TableParagraph">
    <w:name w:val="Table Paragraph"/>
    <w:basedOn w:val="Normal"/>
    <w:uiPriority w:val="1"/>
    <w:qFormat/>
    <w:rsid w:val="00DA6497"/>
    <w:pPr>
      <w:widowControl w:val="0"/>
      <w:autoSpaceDE w:val="0"/>
      <w:autoSpaceDN w:val="0"/>
      <w:spacing w:line="210" w:lineRule="exact"/>
      <w:jc w:val="center"/>
    </w:pPr>
    <w:rPr>
      <w:rFonts w:ascii="Calibri" w:eastAsia="Calibri" w:hAnsi="Calibri" w:cs="Calibri"/>
      <w:sz w:val="22"/>
      <w:szCs w:val="22"/>
      <w:lang w:val="id" w:eastAsia="en-US"/>
    </w:rPr>
  </w:style>
  <w:style w:type="paragraph" w:customStyle="1" w:styleId="pdq2pgselectionanchorcontainer">
    <w:name w:val="pdq2pg_selectionanchorcontainer"/>
    <w:basedOn w:val="Normal"/>
    <w:rsid w:val="00923102"/>
    <w:pPr>
      <w:spacing w:before="100" w:beforeAutospacing="1" w:after="100" w:afterAutospacing="1"/>
    </w:pPr>
  </w:style>
  <w:style w:type="paragraph" w:styleId="z-AtasdariFormulir">
    <w:name w:val="HTML Top of Form"/>
    <w:basedOn w:val="Normal"/>
    <w:next w:val="Normal"/>
    <w:link w:val="z-AtasdariFormulirKAR"/>
    <w:hidden/>
    <w:uiPriority w:val="99"/>
    <w:semiHidden/>
    <w:unhideWhenUsed/>
    <w:rsid w:val="00923102"/>
    <w:pPr>
      <w:pBdr>
        <w:bottom w:val="single" w:sz="6" w:space="1" w:color="auto"/>
      </w:pBdr>
      <w:jc w:val="center"/>
    </w:pPr>
    <w:rPr>
      <w:rFonts w:ascii="Arial" w:hAnsi="Arial" w:cs="Arial"/>
      <w:vanish/>
      <w:sz w:val="16"/>
      <w:szCs w:val="16"/>
    </w:rPr>
  </w:style>
  <w:style w:type="character" w:customStyle="1" w:styleId="z-AtasdariFormulirKAR">
    <w:name w:val="z-Atas dari Formulir KAR"/>
    <w:basedOn w:val="FontParagrafDefault"/>
    <w:link w:val="z-AtasdariFormulir"/>
    <w:uiPriority w:val="99"/>
    <w:semiHidden/>
    <w:rsid w:val="00923102"/>
    <w:rPr>
      <w:rFonts w:ascii="Arial" w:eastAsia="Times New Roman" w:hAnsi="Arial" w:cs="Arial"/>
      <w:vanish/>
      <w:kern w:val="0"/>
      <w:sz w:val="16"/>
      <w:szCs w:val="16"/>
      <w:lang w:eastAsia="id-ID"/>
      <w14:ligatures w14:val="none"/>
    </w:rPr>
  </w:style>
  <w:style w:type="paragraph" w:customStyle="1" w:styleId="placeholder">
    <w:name w:val="placeholder"/>
    <w:basedOn w:val="Normal"/>
    <w:rsid w:val="00923102"/>
    <w:pPr>
      <w:spacing w:before="100" w:beforeAutospacing="1" w:after="100" w:afterAutospacing="1"/>
    </w:pPr>
  </w:style>
  <w:style w:type="paragraph" w:styleId="z-BawahdariFormulir">
    <w:name w:val="HTML Bottom of Form"/>
    <w:basedOn w:val="Normal"/>
    <w:next w:val="Normal"/>
    <w:link w:val="z-BawahdariFormulirKAR"/>
    <w:hidden/>
    <w:uiPriority w:val="99"/>
    <w:semiHidden/>
    <w:unhideWhenUsed/>
    <w:rsid w:val="00923102"/>
    <w:pPr>
      <w:pBdr>
        <w:top w:val="single" w:sz="6" w:space="1" w:color="auto"/>
      </w:pBdr>
      <w:jc w:val="center"/>
    </w:pPr>
    <w:rPr>
      <w:rFonts w:ascii="Arial" w:hAnsi="Arial" w:cs="Arial"/>
      <w:vanish/>
      <w:sz w:val="16"/>
      <w:szCs w:val="16"/>
    </w:rPr>
  </w:style>
  <w:style w:type="character" w:customStyle="1" w:styleId="z-BawahdariFormulirKAR">
    <w:name w:val="z-Bawah dari Formulir KAR"/>
    <w:basedOn w:val="FontParagrafDefault"/>
    <w:link w:val="z-BawahdariFormulir"/>
    <w:uiPriority w:val="99"/>
    <w:semiHidden/>
    <w:rsid w:val="00923102"/>
    <w:rPr>
      <w:rFonts w:ascii="Arial" w:eastAsia="Times New Roman" w:hAnsi="Arial" w:cs="Arial"/>
      <w:vanish/>
      <w:kern w:val="0"/>
      <w:sz w:val="16"/>
      <w:szCs w:val="16"/>
      <w:lang w:eastAsia="id-ID"/>
      <w14:ligatures w14:val="none"/>
    </w:rPr>
  </w:style>
  <w:style w:type="character" w:customStyle="1" w:styleId="Judul3KAR">
    <w:name w:val="Judul 3 KAR"/>
    <w:basedOn w:val="FontParagrafDefault"/>
    <w:link w:val="Judul3"/>
    <w:uiPriority w:val="9"/>
    <w:semiHidden/>
    <w:rsid w:val="007607E2"/>
    <w:rPr>
      <w:rFonts w:asciiTheme="majorHAnsi" w:eastAsiaTheme="majorEastAsia" w:hAnsiTheme="majorHAnsi" w:cstheme="majorBidi"/>
      <w:color w:val="1F3763" w:themeColor="accent1" w:themeShade="7F"/>
      <w:kern w:val="0"/>
      <w:lang w:eastAsia="id-ID"/>
      <w14:ligatures w14:val="none"/>
    </w:rPr>
  </w:style>
  <w:style w:type="character" w:styleId="SebutanYangBelumTerselesaikan">
    <w:name w:val="Unresolved Mention"/>
    <w:basedOn w:val="FontParagrafDefault"/>
    <w:uiPriority w:val="99"/>
    <w:semiHidden/>
    <w:unhideWhenUsed/>
    <w:rsid w:val="00EE5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1703">
      <w:bodyDiv w:val="1"/>
      <w:marLeft w:val="0"/>
      <w:marRight w:val="0"/>
      <w:marTop w:val="0"/>
      <w:marBottom w:val="0"/>
      <w:divBdr>
        <w:top w:val="none" w:sz="0" w:space="0" w:color="auto"/>
        <w:left w:val="none" w:sz="0" w:space="0" w:color="auto"/>
        <w:bottom w:val="none" w:sz="0" w:space="0" w:color="auto"/>
        <w:right w:val="none" w:sz="0" w:space="0" w:color="auto"/>
      </w:divBdr>
    </w:div>
    <w:div w:id="73598140">
      <w:bodyDiv w:val="1"/>
      <w:marLeft w:val="0"/>
      <w:marRight w:val="0"/>
      <w:marTop w:val="0"/>
      <w:marBottom w:val="0"/>
      <w:divBdr>
        <w:top w:val="none" w:sz="0" w:space="0" w:color="auto"/>
        <w:left w:val="none" w:sz="0" w:space="0" w:color="auto"/>
        <w:bottom w:val="none" w:sz="0" w:space="0" w:color="auto"/>
        <w:right w:val="none" w:sz="0" w:space="0" w:color="auto"/>
      </w:divBdr>
    </w:div>
    <w:div w:id="172695701">
      <w:bodyDiv w:val="1"/>
      <w:marLeft w:val="0"/>
      <w:marRight w:val="0"/>
      <w:marTop w:val="0"/>
      <w:marBottom w:val="0"/>
      <w:divBdr>
        <w:top w:val="none" w:sz="0" w:space="0" w:color="auto"/>
        <w:left w:val="none" w:sz="0" w:space="0" w:color="auto"/>
        <w:bottom w:val="none" w:sz="0" w:space="0" w:color="auto"/>
        <w:right w:val="none" w:sz="0" w:space="0" w:color="auto"/>
      </w:divBdr>
    </w:div>
    <w:div w:id="341081567">
      <w:bodyDiv w:val="1"/>
      <w:marLeft w:val="0"/>
      <w:marRight w:val="0"/>
      <w:marTop w:val="0"/>
      <w:marBottom w:val="0"/>
      <w:divBdr>
        <w:top w:val="none" w:sz="0" w:space="0" w:color="auto"/>
        <w:left w:val="none" w:sz="0" w:space="0" w:color="auto"/>
        <w:bottom w:val="none" w:sz="0" w:space="0" w:color="auto"/>
        <w:right w:val="none" w:sz="0" w:space="0" w:color="auto"/>
      </w:divBdr>
    </w:div>
    <w:div w:id="437143308">
      <w:bodyDiv w:val="1"/>
      <w:marLeft w:val="0"/>
      <w:marRight w:val="0"/>
      <w:marTop w:val="0"/>
      <w:marBottom w:val="0"/>
      <w:divBdr>
        <w:top w:val="none" w:sz="0" w:space="0" w:color="auto"/>
        <w:left w:val="none" w:sz="0" w:space="0" w:color="auto"/>
        <w:bottom w:val="none" w:sz="0" w:space="0" w:color="auto"/>
        <w:right w:val="none" w:sz="0" w:space="0" w:color="auto"/>
      </w:divBdr>
    </w:div>
    <w:div w:id="472018252">
      <w:bodyDiv w:val="1"/>
      <w:marLeft w:val="0"/>
      <w:marRight w:val="0"/>
      <w:marTop w:val="0"/>
      <w:marBottom w:val="0"/>
      <w:divBdr>
        <w:top w:val="none" w:sz="0" w:space="0" w:color="auto"/>
        <w:left w:val="none" w:sz="0" w:space="0" w:color="auto"/>
        <w:bottom w:val="none" w:sz="0" w:space="0" w:color="auto"/>
        <w:right w:val="none" w:sz="0" w:space="0" w:color="auto"/>
      </w:divBdr>
    </w:div>
    <w:div w:id="533539057">
      <w:bodyDiv w:val="1"/>
      <w:marLeft w:val="0"/>
      <w:marRight w:val="0"/>
      <w:marTop w:val="0"/>
      <w:marBottom w:val="0"/>
      <w:divBdr>
        <w:top w:val="none" w:sz="0" w:space="0" w:color="auto"/>
        <w:left w:val="none" w:sz="0" w:space="0" w:color="auto"/>
        <w:bottom w:val="none" w:sz="0" w:space="0" w:color="auto"/>
        <w:right w:val="none" w:sz="0" w:space="0" w:color="auto"/>
      </w:divBdr>
      <w:divsChild>
        <w:div w:id="546450375">
          <w:marLeft w:val="0"/>
          <w:marRight w:val="0"/>
          <w:marTop w:val="0"/>
          <w:marBottom w:val="0"/>
          <w:divBdr>
            <w:top w:val="none" w:sz="0" w:space="0" w:color="auto"/>
            <w:left w:val="none" w:sz="0" w:space="0" w:color="auto"/>
            <w:bottom w:val="none" w:sz="0" w:space="0" w:color="auto"/>
            <w:right w:val="none" w:sz="0" w:space="0" w:color="auto"/>
          </w:divBdr>
          <w:divsChild>
            <w:div w:id="643125231">
              <w:marLeft w:val="0"/>
              <w:marRight w:val="0"/>
              <w:marTop w:val="0"/>
              <w:marBottom w:val="0"/>
              <w:divBdr>
                <w:top w:val="none" w:sz="0" w:space="0" w:color="auto"/>
                <w:left w:val="none" w:sz="0" w:space="0" w:color="auto"/>
                <w:bottom w:val="none" w:sz="0" w:space="0" w:color="auto"/>
                <w:right w:val="none" w:sz="0" w:space="0" w:color="auto"/>
              </w:divBdr>
              <w:divsChild>
                <w:div w:id="747532427">
                  <w:marLeft w:val="0"/>
                  <w:marRight w:val="0"/>
                  <w:marTop w:val="0"/>
                  <w:marBottom w:val="0"/>
                  <w:divBdr>
                    <w:top w:val="none" w:sz="0" w:space="0" w:color="auto"/>
                    <w:left w:val="none" w:sz="0" w:space="0" w:color="auto"/>
                    <w:bottom w:val="none" w:sz="0" w:space="0" w:color="auto"/>
                    <w:right w:val="none" w:sz="0" w:space="0" w:color="auto"/>
                  </w:divBdr>
                  <w:divsChild>
                    <w:div w:id="1482430817">
                      <w:marLeft w:val="0"/>
                      <w:marRight w:val="0"/>
                      <w:marTop w:val="0"/>
                      <w:marBottom w:val="0"/>
                      <w:divBdr>
                        <w:top w:val="none" w:sz="0" w:space="0" w:color="auto"/>
                        <w:left w:val="none" w:sz="0" w:space="0" w:color="auto"/>
                        <w:bottom w:val="none" w:sz="0" w:space="0" w:color="auto"/>
                        <w:right w:val="none" w:sz="0" w:space="0" w:color="auto"/>
                      </w:divBdr>
                      <w:divsChild>
                        <w:div w:id="1387878021">
                          <w:marLeft w:val="0"/>
                          <w:marRight w:val="0"/>
                          <w:marTop w:val="0"/>
                          <w:marBottom w:val="0"/>
                          <w:divBdr>
                            <w:top w:val="none" w:sz="0" w:space="0" w:color="auto"/>
                            <w:left w:val="none" w:sz="0" w:space="0" w:color="auto"/>
                            <w:bottom w:val="none" w:sz="0" w:space="0" w:color="auto"/>
                            <w:right w:val="none" w:sz="0" w:space="0" w:color="auto"/>
                          </w:divBdr>
                          <w:divsChild>
                            <w:div w:id="326330097">
                              <w:marLeft w:val="0"/>
                              <w:marRight w:val="0"/>
                              <w:marTop w:val="0"/>
                              <w:marBottom w:val="0"/>
                              <w:divBdr>
                                <w:top w:val="none" w:sz="0" w:space="0" w:color="auto"/>
                                <w:left w:val="none" w:sz="0" w:space="0" w:color="auto"/>
                                <w:bottom w:val="none" w:sz="0" w:space="0" w:color="auto"/>
                                <w:right w:val="none" w:sz="0" w:space="0" w:color="auto"/>
                              </w:divBdr>
                              <w:divsChild>
                                <w:div w:id="1064140112">
                                  <w:marLeft w:val="0"/>
                                  <w:marRight w:val="0"/>
                                  <w:marTop w:val="0"/>
                                  <w:marBottom w:val="0"/>
                                  <w:divBdr>
                                    <w:top w:val="none" w:sz="0" w:space="0" w:color="auto"/>
                                    <w:left w:val="none" w:sz="0" w:space="0" w:color="auto"/>
                                    <w:bottom w:val="none" w:sz="0" w:space="0" w:color="auto"/>
                                    <w:right w:val="none" w:sz="0" w:space="0" w:color="auto"/>
                                  </w:divBdr>
                                  <w:divsChild>
                                    <w:div w:id="835071758">
                                      <w:marLeft w:val="0"/>
                                      <w:marRight w:val="0"/>
                                      <w:marTop w:val="0"/>
                                      <w:marBottom w:val="0"/>
                                      <w:divBdr>
                                        <w:top w:val="none" w:sz="0" w:space="0" w:color="auto"/>
                                        <w:left w:val="none" w:sz="0" w:space="0" w:color="auto"/>
                                        <w:bottom w:val="none" w:sz="0" w:space="0" w:color="auto"/>
                                        <w:right w:val="none" w:sz="0" w:space="0" w:color="auto"/>
                                      </w:divBdr>
                                      <w:divsChild>
                                        <w:div w:id="869227764">
                                          <w:marLeft w:val="0"/>
                                          <w:marRight w:val="0"/>
                                          <w:marTop w:val="0"/>
                                          <w:marBottom w:val="0"/>
                                          <w:divBdr>
                                            <w:top w:val="none" w:sz="0" w:space="0" w:color="auto"/>
                                            <w:left w:val="none" w:sz="0" w:space="0" w:color="auto"/>
                                            <w:bottom w:val="none" w:sz="0" w:space="0" w:color="auto"/>
                                            <w:right w:val="none" w:sz="0" w:space="0" w:color="auto"/>
                                          </w:divBdr>
                                          <w:divsChild>
                                            <w:div w:id="11990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508855">
          <w:marLeft w:val="0"/>
          <w:marRight w:val="0"/>
          <w:marTop w:val="0"/>
          <w:marBottom w:val="0"/>
          <w:divBdr>
            <w:top w:val="none" w:sz="0" w:space="0" w:color="auto"/>
            <w:left w:val="none" w:sz="0" w:space="0" w:color="auto"/>
            <w:bottom w:val="none" w:sz="0" w:space="0" w:color="auto"/>
            <w:right w:val="none" w:sz="0" w:space="0" w:color="auto"/>
          </w:divBdr>
          <w:divsChild>
            <w:div w:id="984624716">
              <w:marLeft w:val="0"/>
              <w:marRight w:val="0"/>
              <w:marTop w:val="0"/>
              <w:marBottom w:val="0"/>
              <w:divBdr>
                <w:top w:val="none" w:sz="0" w:space="0" w:color="auto"/>
                <w:left w:val="none" w:sz="0" w:space="0" w:color="auto"/>
                <w:bottom w:val="none" w:sz="0" w:space="0" w:color="auto"/>
                <w:right w:val="none" w:sz="0" w:space="0" w:color="auto"/>
              </w:divBdr>
              <w:divsChild>
                <w:div w:id="564679794">
                  <w:marLeft w:val="0"/>
                  <w:marRight w:val="0"/>
                  <w:marTop w:val="0"/>
                  <w:marBottom w:val="0"/>
                  <w:divBdr>
                    <w:top w:val="none" w:sz="0" w:space="0" w:color="auto"/>
                    <w:left w:val="none" w:sz="0" w:space="0" w:color="auto"/>
                    <w:bottom w:val="none" w:sz="0" w:space="0" w:color="auto"/>
                    <w:right w:val="none" w:sz="0" w:space="0" w:color="auto"/>
                  </w:divBdr>
                  <w:divsChild>
                    <w:div w:id="1319109746">
                      <w:marLeft w:val="0"/>
                      <w:marRight w:val="0"/>
                      <w:marTop w:val="0"/>
                      <w:marBottom w:val="0"/>
                      <w:divBdr>
                        <w:top w:val="none" w:sz="0" w:space="0" w:color="auto"/>
                        <w:left w:val="none" w:sz="0" w:space="0" w:color="auto"/>
                        <w:bottom w:val="none" w:sz="0" w:space="0" w:color="auto"/>
                        <w:right w:val="none" w:sz="0" w:space="0" w:color="auto"/>
                      </w:divBdr>
                      <w:divsChild>
                        <w:div w:id="1987973974">
                          <w:marLeft w:val="0"/>
                          <w:marRight w:val="0"/>
                          <w:marTop w:val="0"/>
                          <w:marBottom w:val="0"/>
                          <w:divBdr>
                            <w:top w:val="none" w:sz="0" w:space="0" w:color="auto"/>
                            <w:left w:val="none" w:sz="0" w:space="0" w:color="auto"/>
                            <w:bottom w:val="none" w:sz="0" w:space="0" w:color="auto"/>
                            <w:right w:val="none" w:sz="0" w:space="0" w:color="auto"/>
                          </w:divBdr>
                          <w:divsChild>
                            <w:div w:id="1388064457">
                              <w:marLeft w:val="0"/>
                              <w:marRight w:val="0"/>
                              <w:marTop w:val="0"/>
                              <w:marBottom w:val="0"/>
                              <w:divBdr>
                                <w:top w:val="none" w:sz="0" w:space="0" w:color="auto"/>
                                <w:left w:val="none" w:sz="0" w:space="0" w:color="auto"/>
                                <w:bottom w:val="none" w:sz="0" w:space="0" w:color="auto"/>
                                <w:right w:val="none" w:sz="0" w:space="0" w:color="auto"/>
                              </w:divBdr>
                              <w:divsChild>
                                <w:div w:id="2082632838">
                                  <w:marLeft w:val="0"/>
                                  <w:marRight w:val="0"/>
                                  <w:marTop w:val="0"/>
                                  <w:marBottom w:val="0"/>
                                  <w:divBdr>
                                    <w:top w:val="none" w:sz="0" w:space="0" w:color="auto"/>
                                    <w:left w:val="none" w:sz="0" w:space="0" w:color="auto"/>
                                    <w:bottom w:val="none" w:sz="0" w:space="0" w:color="auto"/>
                                    <w:right w:val="none" w:sz="0" w:space="0" w:color="auto"/>
                                  </w:divBdr>
                                  <w:divsChild>
                                    <w:div w:id="1238171774">
                                      <w:marLeft w:val="0"/>
                                      <w:marRight w:val="0"/>
                                      <w:marTop w:val="0"/>
                                      <w:marBottom w:val="0"/>
                                      <w:divBdr>
                                        <w:top w:val="none" w:sz="0" w:space="0" w:color="auto"/>
                                        <w:left w:val="none" w:sz="0" w:space="0" w:color="auto"/>
                                        <w:bottom w:val="none" w:sz="0" w:space="0" w:color="auto"/>
                                        <w:right w:val="none" w:sz="0" w:space="0" w:color="auto"/>
                                      </w:divBdr>
                                      <w:divsChild>
                                        <w:div w:id="1228151448">
                                          <w:marLeft w:val="0"/>
                                          <w:marRight w:val="0"/>
                                          <w:marTop w:val="0"/>
                                          <w:marBottom w:val="0"/>
                                          <w:divBdr>
                                            <w:top w:val="none" w:sz="0" w:space="0" w:color="auto"/>
                                            <w:left w:val="none" w:sz="0" w:space="0" w:color="auto"/>
                                            <w:bottom w:val="none" w:sz="0" w:space="0" w:color="auto"/>
                                            <w:right w:val="none" w:sz="0" w:space="0" w:color="auto"/>
                                          </w:divBdr>
                                          <w:divsChild>
                                            <w:div w:id="699671496">
                                              <w:marLeft w:val="0"/>
                                              <w:marRight w:val="0"/>
                                              <w:marTop w:val="0"/>
                                              <w:marBottom w:val="0"/>
                                              <w:divBdr>
                                                <w:top w:val="none" w:sz="0" w:space="0" w:color="auto"/>
                                                <w:left w:val="none" w:sz="0" w:space="0" w:color="auto"/>
                                                <w:bottom w:val="none" w:sz="0" w:space="0" w:color="auto"/>
                                                <w:right w:val="none" w:sz="0" w:space="0" w:color="auto"/>
                                              </w:divBdr>
                                              <w:divsChild>
                                                <w:div w:id="1755930208">
                                                  <w:marLeft w:val="0"/>
                                                  <w:marRight w:val="0"/>
                                                  <w:marTop w:val="0"/>
                                                  <w:marBottom w:val="0"/>
                                                  <w:divBdr>
                                                    <w:top w:val="none" w:sz="0" w:space="0" w:color="auto"/>
                                                    <w:left w:val="none" w:sz="0" w:space="0" w:color="auto"/>
                                                    <w:bottom w:val="none" w:sz="0" w:space="0" w:color="auto"/>
                                                    <w:right w:val="none" w:sz="0" w:space="0" w:color="auto"/>
                                                  </w:divBdr>
                                                  <w:divsChild>
                                                    <w:div w:id="1973628417">
                                                      <w:marLeft w:val="0"/>
                                                      <w:marRight w:val="0"/>
                                                      <w:marTop w:val="0"/>
                                                      <w:marBottom w:val="0"/>
                                                      <w:divBdr>
                                                        <w:top w:val="none" w:sz="0" w:space="0" w:color="auto"/>
                                                        <w:left w:val="none" w:sz="0" w:space="0" w:color="auto"/>
                                                        <w:bottom w:val="none" w:sz="0" w:space="0" w:color="auto"/>
                                                        <w:right w:val="none" w:sz="0" w:space="0" w:color="auto"/>
                                                      </w:divBdr>
                                                      <w:divsChild>
                                                        <w:div w:id="174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8469058">
      <w:bodyDiv w:val="1"/>
      <w:marLeft w:val="0"/>
      <w:marRight w:val="0"/>
      <w:marTop w:val="0"/>
      <w:marBottom w:val="0"/>
      <w:divBdr>
        <w:top w:val="none" w:sz="0" w:space="0" w:color="auto"/>
        <w:left w:val="none" w:sz="0" w:space="0" w:color="auto"/>
        <w:bottom w:val="none" w:sz="0" w:space="0" w:color="auto"/>
        <w:right w:val="none" w:sz="0" w:space="0" w:color="auto"/>
      </w:divBdr>
    </w:div>
    <w:div w:id="820468752">
      <w:bodyDiv w:val="1"/>
      <w:marLeft w:val="0"/>
      <w:marRight w:val="0"/>
      <w:marTop w:val="0"/>
      <w:marBottom w:val="0"/>
      <w:divBdr>
        <w:top w:val="none" w:sz="0" w:space="0" w:color="auto"/>
        <w:left w:val="none" w:sz="0" w:space="0" w:color="auto"/>
        <w:bottom w:val="none" w:sz="0" w:space="0" w:color="auto"/>
        <w:right w:val="none" w:sz="0" w:space="0" w:color="auto"/>
      </w:divBdr>
    </w:div>
    <w:div w:id="981694436">
      <w:bodyDiv w:val="1"/>
      <w:marLeft w:val="0"/>
      <w:marRight w:val="0"/>
      <w:marTop w:val="0"/>
      <w:marBottom w:val="0"/>
      <w:divBdr>
        <w:top w:val="none" w:sz="0" w:space="0" w:color="auto"/>
        <w:left w:val="none" w:sz="0" w:space="0" w:color="auto"/>
        <w:bottom w:val="none" w:sz="0" w:space="0" w:color="auto"/>
        <w:right w:val="none" w:sz="0" w:space="0" w:color="auto"/>
      </w:divBdr>
    </w:div>
    <w:div w:id="998654300">
      <w:bodyDiv w:val="1"/>
      <w:marLeft w:val="0"/>
      <w:marRight w:val="0"/>
      <w:marTop w:val="0"/>
      <w:marBottom w:val="0"/>
      <w:divBdr>
        <w:top w:val="none" w:sz="0" w:space="0" w:color="auto"/>
        <w:left w:val="none" w:sz="0" w:space="0" w:color="auto"/>
        <w:bottom w:val="none" w:sz="0" w:space="0" w:color="auto"/>
        <w:right w:val="none" w:sz="0" w:space="0" w:color="auto"/>
      </w:divBdr>
    </w:div>
    <w:div w:id="1125318969">
      <w:bodyDiv w:val="1"/>
      <w:marLeft w:val="0"/>
      <w:marRight w:val="0"/>
      <w:marTop w:val="0"/>
      <w:marBottom w:val="0"/>
      <w:divBdr>
        <w:top w:val="none" w:sz="0" w:space="0" w:color="auto"/>
        <w:left w:val="none" w:sz="0" w:space="0" w:color="auto"/>
        <w:bottom w:val="none" w:sz="0" w:space="0" w:color="auto"/>
        <w:right w:val="none" w:sz="0" w:space="0" w:color="auto"/>
      </w:divBdr>
    </w:div>
    <w:div w:id="1368216660">
      <w:bodyDiv w:val="1"/>
      <w:marLeft w:val="0"/>
      <w:marRight w:val="0"/>
      <w:marTop w:val="0"/>
      <w:marBottom w:val="0"/>
      <w:divBdr>
        <w:top w:val="none" w:sz="0" w:space="0" w:color="auto"/>
        <w:left w:val="none" w:sz="0" w:space="0" w:color="auto"/>
        <w:bottom w:val="none" w:sz="0" w:space="0" w:color="auto"/>
        <w:right w:val="none" w:sz="0" w:space="0" w:color="auto"/>
      </w:divBdr>
    </w:div>
    <w:div w:id="1416395461">
      <w:bodyDiv w:val="1"/>
      <w:marLeft w:val="0"/>
      <w:marRight w:val="0"/>
      <w:marTop w:val="0"/>
      <w:marBottom w:val="0"/>
      <w:divBdr>
        <w:top w:val="none" w:sz="0" w:space="0" w:color="auto"/>
        <w:left w:val="none" w:sz="0" w:space="0" w:color="auto"/>
        <w:bottom w:val="none" w:sz="0" w:space="0" w:color="auto"/>
        <w:right w:val="none" w:sz="0" w:space="0" w:color="auto"/>
      </w:divBdr>
    </w:div>
    <w:div w:id="1640263677">
      <w:bodyDiv w:val="1"/>
      <w:marLeft w:val="0"/>
      <w:marRight w:val="0"/>
      <w:marTop w:val="0"/>
      <w:marBottom w:val="0"/>
      <w:divBdr>
        <w:top w:val="none" w:sz="0" w:space="0" w:color="auto"/>
        <w:left w:val="none" w:sz="0" w:space="0" w:color="auto"/>
        <w:bottom w:val="none" w:sz="0" w:space="0" w:color="auto"/>
        <w:right w:val="none" w:sz="0" w:space="0" w:color="auto"/>
      </w:divBdr>
    </w:div>
    <w:div w:id="1772696430">
      <w:bodyDiv w:val="1"/>
      <w:marLeft w:val="0"/>
      <w:marRight w:val="0"/>
      <w:marTop w:val="0"/>
      <w:marBottom w:val="0"/>
      <w:divBdr>
        <w:top w:val="none" w:sz="0" w:space="0" w:color="auto"/>
        <w:left w:val="none" w:sz="0" w:space="0" w:color="auto"/>
        <w:bottom w:val="none" w:sz="0" w:space="0" w:color="auto"/>
        <w:right w:val="none" w:sz="0" w:space="0" w:color="auto"/>
      </w:divBdr>
    </w:div>
    <w:div w:id="1909420781">
      <w:bodyDiv w:val="1"/>
      <w:marLeft w:val="0"/>
      <w:marRight w:val="0"/>
      <w:marTop w:val="0"/>
      <w:marBottom w:val="0"/>
      <w:divBdr>
        <w:top w:val="none" w:sz="0" w:space="0" w:color="auto"/>
        <w:left w:val="none" w:sz="0" w:space="0" w:color="auto"/>
        <w:bottom w:val="none" w:sz="0" w:space="0" w:color="auto"/>
        <w:right w:val="none" w:sz="0" w:space="0" w:color="auto"/>
      </w:divBdr>
    </w:div>
    <w:div w:id="1977878425">
      <w:bodyDiv w:val="1"/>
      <w:marLeft w:val="0"/>
      <w:marRight w:val="0"/>
      <w:marTop w:val="0"/>
      <w:marBottom w:val="0"/>
      <w:divBdr>
        <w:top w:val="none" w:sz="0" w:space="0" w:color="auto"/>
        <w:left w:val="none" w:sz="0" w:space="0" w:color="auto"/>
        <w:bottom w:val="none" w:sz="0" w:space="0" w:color="auto"/>
        <w:right w:val="none" w:sz="0" w:space="0" w:color="auto"/>
      </w:divBdr>
    </w:div>
    <w:div w:id="2018461517">
      <w:bodyDiv w:val="1"/>
      <w:marLeft w:val="0"/>
      <w:marRight w:val="0"/>
      <w:marTop w:val="0"/>
      <w:marBottom w:val="0"/>
      <w:divBdr>
        <w:top w:val="none" w:sz="0" w:space="0" w:color="auto"/>
        <w:left w:val="none" w:sz="0" w:space="0" w:color="auto"/>
        <w:bottom w:val="none" w:sz="0" w:space="0" w:color="auto"/>
        <w:right w:val="none" w:sz="0" w:space="0" w:color="auto"/>
      </w:divBdr>
    </w:div>
    <w:div w:id="2091075307">
      <w:bodyDiv w:val="1"/>
      <w:marLeft w:val="0"/>
      <w:marRight w:val="0"/>
      <w:marTop w:val="0"/>
      <w:marBottom w:val="0"/>
      <w:divBdr>
        <w:top w:val="none" w:sz="0" w:space="0" w:color="auto"/>
        <w:left w:val="none" w:sz="0" w:space="0" w:color="auto"/>
        <w:bottom w:val="none" w:sz="0" w:space="0" w:color="auto"/>
        <w:right w:val="none" w:sz="0" w:space="0" w:color="auto"/>
      </w:divBdr>
      <w:divsChild>
        <w:div w:id="1579437818">
          <w:marLeft w:val="0"/>
          <w:marRight w:val="0"/>
          <w:marTop w:val="0"/>
          <w:marBottom w:val="0"/>
          <w:divBdr>
            <w:top w:val="none" w:sz="0" w:space="0" w:color="auto"/>
            <w:left w:val="none" w:sz="0" w:space="0" w:color="auto"/>
            <w:bottom w:val="none" w:sz="0" w:space="0" w:color="auto"/>
            <w:right w:val="none" w:sz="0" w:space="0" w:color="auto"/>
          </w:divBdr>
          <w:divsChild>
            <w:div w:id="1359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staihwduri.ac.id/index.php/finest/index" TargetMode="External"/><Relationship Id="rId13" Type="http://schemas.openxmlformats.org/officeDocument/2006/relationships/image" Target="media/image2.png"/><Relationship Id="rId18" Type="http://schemas.openxmlformats.org/officeDocument/2006/relationships/hyperlink" Target="https://doi.org/10.24114/niaga.v11i1.2844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2795/hak.v4i3.2860" TargetMode="External"/><Relationship Id="rId7" Type="http://schemas.openxmlformats.org/officeDocument/2006/relationships/image" Target="media/image1.png"/><Relationship Id="rId12" Type="http://schemas.openxmlformats.org/officeDocument/2006/relationships/hyperlink" Target="http://dx.doi.org/10.63435/finest.v9i2.4806" TargetMode="External"/><Relationship Id="rId17" Type="http://schemas.openxmlformats.org/officeDocument/2006/relationships/hyperlink" Target="https://doi.org/10.37641/jiakes.v10i1.117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01492063241268459" TargetMode="External"/><Relationship Id="rId20" Type="http://schemas.openxmlformats.org/officeDocument/2006/relationships/hyperlink" Target="https://doi.org/10.59613/armada.v6i1.567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helmiati@gmail.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rahmawati@stiebangkinang.ac.id2" TargetMode="External"/><Relationship Id="rId19" Type="http://schemas.openxmlformats.org/officeDocument/2006/relationships/hyperlink" Target="https://doi.org/10.29121/shodhkosh.v5.i4.2024.6426" TargetMode="External"/><Relationship Id="rId4" Type="http://schemas.openxmlformats.org/officeDocument/2006/relationships/webSettings" Target="webSettings.xml"/><Relationship Id="rId9" Type="http://schemas.openxmlformats.org/officeDocument/2006/relationships/hyperlink" Target="mailto:%20okifirdaus@gmail.com" TargetMode="External"/><Relationship Id="rId14" Type="http://schemas.openxmlformats.org/officeDocument/2006/relationships/image" Target="media/image3.png"/><Relationship Id="rId22" Type="http://schemas.openxmlformats.org/officeDocument/2006/relationships/hyperlink" Target="https://doi.org/10.1080/23311975.2025.2530752"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urnal.staihwduri.ac.id/index.php/finest/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staihwduri.ac.id/index.php/finest/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staihwduri.ac.id/index.php/finest/inde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6196</Words>
  <Characters>35318</Characters>
  <Application>Microsoft Office Word</Application>
  <DocSecurity>0</DocSecurity>
  <Lines>294</Lines>
  <Paragraphs>82</Paragraphs>
  <ScaleCrop>false</ScaleCrop>
  <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 Mustika</dc:creator>
  <cp:keywords/>
  <dc:description/>
  <cp:lastModifiedBy>Dama Mustika</cp:lastModifiedBy>
  <cp:revision>15</cp:revision>
  <dcterms:created xsi:type="dcterms:W3CDTF">2026-06-28T05:28:00Z</dcterms:created>
  <dcterms:modified xsi:type="dcterms:W3CDTF">2026-06-28T08:25:00Z</dcterms:modified>
</cp:coreProperties>
</file>